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0" w:lineRule="exact"/>
        <w:jc w:val="center"/>
        <w:rPr>
          <w:rFonts w:hint="eastAsia" w:ascii="方正小标宋简体" w:hAnsi="方正小标宋简体" w:eastAsia="方正小标宋简体" w:cs="方正小标宋简体"/>
          <w:color w:val="auto"/>
          <w:sz w:val="44"/>
          <w:szCs w:val="44"/>
          <w:lang w:eastAsia="zh-CN"/>
        </w:rPr>
      </w:pPr>
      <w:bookmarkStart w:id="0" w:name="_Toc2034999468_WPSOffice_Level1"/>
      <w:r>
        <w:rPr>
          <w:rFonts w:hint="eastAsia" w:ascii="方正小标宋简体" w:hAnsi="方正小标宋简体" w:eastAsia="方正小标宋简体" w:cs="方正小标宋简体"/>
          <w:color w:val="auto"/>
          <w:sz w:val="44"/>
          <w:szCs w:val="44"/>
          <w:lang w:eastAsia="zh-CN"/>
        </w:rPr>
        <w:t>湖南衡阳钢管（集团）有限公司“11·1”</w:t>
      </w:r>
    </w:p>
    <w:p>
      <w:pPr>
        <w:spacing w:line="590" w:lineRule="exact"/>
        <w:jc w:val="center"/>
        <w:rPr>
          <w:rFonts w:hint="eastAsia" w:ascii="方正小标宋简体" w:hAnsi="方正小标宋简体" w:eastAsia="方正小标宋简体" w:cs="方正小标宋简体"/>
          <w:color w:val="auto"/>
          <w:sz w:val="44"/>
          <w:szCs w:val="44"/>
          <w:lang w:eastAsia="zh-CN"/>
        </w:rPr>
      </w:pPr>
      <w:bookmarkStart w:id="36" w:name="_GoBack"/>
      <w:bookmarkEnd w:id="36"/>
      <w:r>
        <w:rPr>
          <w:rFonts w:hint="eastAsia" w:ascii="方正小标宋简体" w:hAnsi="方正小标宋简体" w:eastAsia="方正小标宋简体" w:cs="方正小标宋简体"/>
          <w:color w:val="auto"/>
          <w:sz w:val="44"/>
          <w:szCs w:val="44"/>
          <w:lang w:eastAsia="zh-CN"/>
        </w:rPr>
        <w:t>一般火灾事故调查报告</w:t>
      </w:r>
      <w:bookmarkEnd w:id="0"/>
    </w:p>
    <w:p>
      <w:pPr>
        <w:spacing w:line="576" w:lineRule="exact"/>
        <w:ind w:firstLine="640" w:firstLineChars="200"/>
        <w:rPr>
          <w:rFonts w:hint="eastAsia" w:ascii="Times New Roman" w:hAnsi="Times New Roman" w:eastAsia="仿宋_GB2312" w:cs="Times New Roman"/>
          <w:kern w:val="0"/>
          <w:sz w:val="32"/>
          <w:szCs w:val="32"/>
          <w:lang w:val="en-US" w:eastAsia="zh-CN" w:bidi="ar-SA"/>
        </w:rPr>
      </w:pP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2024年11月1日15时10分许，湖南衡阳钢管（集团）有限公司下属子公司湖南衡钢工程建设有限公司在2#热处理线淬火炉炉底升降油缸更换过程中，发生一起火灾事故，致1人死亡，2人受伤，直接经济损失约160万元。</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事故发生后，市人民政府高度重视，要求迅速查明事故原因，切实做好事故现场善后处置，深刻吸取事故教训，举一反三，切实开展企业安全生产隐患排查治理，防范类似事故的发生。</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根据《中华人民共和国安全生产法》《生产安全事故报告和调查处理条例》（国务院令第493号）、湖南省人民政府《湖南省生产安全事故调查处理办法》（湘政发〔2022〕9号）等有关规定，经衡阳市人民政府批准，成立了由市应急管理局、市总工会、市公安局、市消防支队及蒸湘区人民政府等单位组成的湖南衡阳钢管（集团）有限公司“11·1”一般火灾事故调查组（简称“事故调查组”），对该起事故开展调查。</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事故调查组坚持“四不放过”和“科学严谨、依法依规、实事求是、注重实效”的原则，通过现场勘查、调查取证、查阅资料，查明了事故发生的原因、经过、人员伤亡等情况，认定了事故的性质和责任，提出了对有关责任人员和责任单位的处理建议。针对事故原因和暴露出的问题，提出了事故防范措施建议。</w:t>
      </w:r>
    </w:p>
    <w:p>
      <w:pPr>
        <w:keepNext w:val="0"/>
        <w:keepLines w:val="0"/>
        <w:pageBreakBefore w:val="0"/>
        <w:widowControl/>
        <w:kinsoku/>
        <w:overflowPunct/>
        <w:topLinePunct w:val="0"/>
        <w:autoSpaceDE/>
        <w:autoSpaceDN/>
        <w:bidi w:val="0"/>
        <w:adjustRightInd/>
        <w:snapToGrid/>
        <w:spacing w:line="600" w:lineRule="exact"/>
        <w:ind w:firstLine="627"/>
        <w:jc w:val="left"/>
        <w:textAlignment w:val="auto"/>
        <w:rPr>
          <w:rFonts w:hint="eastAsia" w:eastAsia="黑体"/>
          <w:bCs/>
          <w:color w:val="000000"/>
          <w:kern w:val="0"/>
          <w:sz w:val="32"/>
          <w:szCs w:val="32"/>
          <w:lang w:val="en-US" w:eastAsia="zh-CN"/>
        </w:rPr>
      </w:pPr>
      <w:bookmarkStart w:id="1" w:name="_Toc710977731_WPSOffice_Level1"/>
      <w:r>
        <w:rPr>
          <w:rFonts w:hint="eastAsia" w:eastAsia="黑体"/>
          <w:bCs/>
          <w:color w:val="000000"/>
          <w:kern w:val="0"/>
          <w:sz w:val="32"/>
          <w:szCs w:val="32"/>
          <w:lang w:val="en" w:eastAsia="zh-CN"/>
        </w:rPr>
        <w:t>一、事故基本情况</w:t>
      </w:r>
      <w:bookmarkEnd w:id="1"/>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2" w:name="_Toc2034999468_WPSOffice_Level2"/>
      <w:r>
        <w:rPr>
          <w:rFonts w:hint="eastAsia" w:ascii="楷体" w:hAnsi="楷体" w:eastAsia="楷体" w:cs="楷体"/>
          <w:color w:val="auto"/>
          <w:sz w:val="32"/>
          <w:szCs w:val="32"/>
          <w:lang w:val="en-US" w:eastAsia="zh-CN"/>
        </w:rPr>
        <w:t>（一）涉事单位基本情况</w:t>
      </w:r>
      <w:bookmarkStart w:id="3" w:name="OLE_LINK11"/>
      <w:r>
        <w:rPr>
          <w:rFonts w:hint="eastAsia" w:ascii="楷体" w:hAnsi="楷体" w:eastAsia="楷体" w:cs="楷体"/>
          <w:color w:val="auto"/>
          <w:sz w:val="32"/>
          <w:szCs w:val="32"/>
          <w:lang w:val="en-US" w:eastAsia="zh-CN"/>
        </w:rPr>
        <w:t>。</w:t>
      </w:r>
      <w:bookmarkEnd w:id="2"/>
    </w:p>
    <w:p>
      <w:pPr>
        <w:keepNext w:val="0"/>
        <w:keepLines w:val="0"/>
        <w:pageBreakBefore w:val="0"/>
        <w:kinsoku/>
        <w:wordWrap/>
        <w:overflowPunct/>
        <w:topLinePunct w:val="0"/>
        <w:autoSpaceDE/>
        <w:autoSpaceDN/>
        <w:bidi w:val="0"/>
        <w:adjustRightInd/>
        <w:snapToGrid/>
        <w:spacing w:line="576" w:lineRule="exact"/>
        <w:ind w:firstLine="642" w:firstLineChars="200"/>
        <w:textAlignment w:val="auto"/>
        <w:rPr>
          <w:rFonts w:hint="eastAsia" w:ascii="Times New Roman" w:hAnsi="Times New Roman" w:eastAsia="仿宋_GB2312" w:cs="Times New Roman"/>
          <w:b/>
          <w:bCs/>
          <w:sz w:val="32"/>
          <w:szCs w:val="32"/>
          <w:lang w:val="en-US" w:eastAsia="zh-CN"/>
        </w:rPr>
      </w:pPr>
      <w:r>
        <w:rPr>
          <w:rFonts w:hint="eastAsia" w:ascii="Times New Roman" w:hAnsi="Times New Roman" w:eastAsia="仿宋_GB2312" w:cs="Times New Roman"/>
          <w:b/>
          <w:bCs/>
          <w:sz w:val="32"/>
          <w:szCs w:val="32"/>
          <w:lang w:val="en-US" w:eastAsia="zh-CN"/>
        </w:rPr>
        <w:t>1.湖南衡钢工程建设有限公司（以下简称“衡钢工程公司”）</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该单位成立于2020年5月28日（曾用名：湖南吉扬建设工程有限公司），系湖南衡阳钢管（集团）有限公司全资控股的子公司，统一社会信用代码：91430121MA4R CM****，注册资本：6080万元，注册住所湖南省衡阳市蒸湘区大栗新村10号8#园区厂房101室，法定代表人叶*，登记机关：衡阳市市场监督管理局。营业范围：许可项目：特种设备安装改造修理；特种设备制造；建筑物拆除作业（爆破作业除外）；建设工程施工（除核电站建设经营、民用机场建设）；施工专业作业；建筑劳务分包；公路管理与养护；建设工程设计；地质灾害治理工程设计。（依法须经批准的项目，经相关部门批准后方可开展经营活动，具体经营项目以相关部门批准文件或许可证件为准）一般项目：金属结构制造；通用设备制造（不含特种设备制造）；对外承包工程；普通机械设备安装服务；工程管理服务；工程技术服务（规划管理、勘察、设计、监理除外）等。</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该单位取得了由湖南省住房和城乡建设厅颁发的《安全生产许可证》，编号：（湘）JZ安许证字[2021]00****，有效期至2027年1月9日，许可范围：建筑施工；取得了由湖南省住房和城乡建设厅颁发的《建筑业企业资质证书》，编号：D24318****，有效期至2026年1月21日，</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经查，该单位成立了安全生产管理机构，内设综合管理科、安全环保科、设备运行科、工程技术科等内设科室，下辖一工区（89维修工段、特管维修工段）、二工区（340维修工段、180维修工段）、冶炼工区（炼铁维修工段）、机动工区（机动维修工段）等四个生产工区。单位相关安全管理人员和特种作业人员均已取得安全培训合格证和特种作业操作证，并在有效期内。目前该单位承接的主要业务，为湖南衡阳钢管（集团）有限公司各二级厂设备维修保养和技改的项目施工。</w:t>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ind w:firstLine="642" w:firstLineChars="200"/>
        <w:jc w:val="left"/>
        <w:textAlignment w:val="auto"/>
        <w:rPr>
          <w:rFonts w:hint="eastAsia" w:ascii="Times New Roman" w:hAnsi="Times New Roman" w:eastAsia="仿宋_GB2312" w:cs="Times New Roman"/>
          <w:color w:val="auto"/>
          <w:sz w:val="32"/>
          <w:szCs w:val="32"/>
          <w:lang w:val="en-US" w:eastAsia="zh-CN"/>
        </w:rPr>
      </w:pPr>
      <w:r>
        <w:rPr>
          <w:rFonts w:hint="eastAsia" w:ascii="Times New Roman" w:hAnsi="Times New Roman" w:eastAsia="仿宋_GB2312" w:cs="Times New Roman"/>
          <w:b/>
          <w:bCs/>
          <w:sz w:val="32"/>
          <w:szCs w:val="32"/>
          <w:lang w:val="en-US" w:eastAsia="zh-CN"/>
        </w:rPr>
        <w:t>2.湖南衡阳钢管（集团）有限公司（以下简称“衡钢公司”）</w:t>
      </w:r>
      <w:r>
        <w:rPr>
          <w:rFonts w:hint="eastAsia" w:ascii="Times New Roman" w:hAnsi="Times New Roman" w:eastAsia="仿宋_GB2312" w:cs="Times New Roman"/>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该单位成立于1998年7月8日，系省属国有企业，企业类型：有限责任公司（非自然人投资或控股的法人代表），注册资本：4.739亿元，法定代表人：何*，注册地址：衡阳市蒸湘区大栗新村，统一社会信用代码：91430400185013****，登记机关：衡阳市市场监督管理局，营业范围：机械加工、汽车运输（限分支机构经营）、第三产业、钢材及其深加工产品、丙烷金属切割气、液化气的销售（依法须经批准的项目，经相关部门批准后方可开展经营活动）。该单位因企业运营需要，另办理了“衡阳华菱连轧管有限公司”“衡阳华菱钢管有限公司”营业执照，属三块牌子，一套人马管理模式。</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经查，该单位现有在岗员工3100余人，内设安全环保部、质量管理部（检验检测中心）、设备工程部、市场投资规划部、企业管理和人力资源部等职能部门；下设炼钢厂、炼铁厂、89厂、180厂、219厂、340厂、720厂及特种钢管、管加工、能源等10个二级厂。公司主要负责人、安全管理人员和特种作业人员均已取得安全培训合格证和特种作业操作证，并在有效期内。事故发生地点，为衡钢工程公司承揽的340厂2#热处理淬火炉举升油缸更换施工作业现场。</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4" w:name="_Toc710977731_WPSOffice_Level2"/>
      <w:r>
        <w:rPr>
          <w:rFonts w:hint="eastAsia" w:ascii="楷体" w:hAnsi="楷体" w:eastAsia="楷体" w:cs="楷体"/>
          <w:color w:val="auto"/>
          <w:sz w:val="32"/>
          <w:szCs w:val="32"/>
          <w:lang w:val="en-US" w:eastAsia="zh-CN"/>
        </w:rPr>
        <w:t>（二）事故当事人基本情况。</w:t>
      </w:r>
      <w:bookmarkEnd w:id="4"/>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bookmarkStart w:id="5" w:name="_Toc276663232_WPSOffice_Level2"/>
      <w:r>
        <w:rPr>
          <w:rFonts w:hint="eastAsia" w:ascii="仿宋" w:hAnsi="仿宋" w:eastAsia="仿宋" w:cs="仿宋"/>
          <w:sz w:val="32"/>
          <w:lang w:val="en-US" w:eastAsia="zh-CN"/>
        </w:rPr>
        <w:t>肖**，男，汉族，50岁，家庭住址：衡南县三塘镇鳌兴村，身份证号码：43042219740809****，系衡钢工程公司现场作业人员，当班作业班组长，取得了焊接与热切割作业证（编号：T43042219740809****），在事故中死亡。</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谢**，男，汉族，36岁，家庭住址：湖南省衡南县谭子山镇团岭村邓家组，身份证号码：43042219890723****，系衡钢工程公司现场作业人员，当班电焊切割操作工，取得了焊接与热切割作业证（编号：T43042219890723****），在事故中受伤。</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陈*，男，汉族，36岁，身份证号码：43040519891008****，家庭住址：衡阳市珠晖区和平乡五四安置房9栋2单元1906室，系衡钢工程公司现场作业人员，当班钳工，在事故中受伤。</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（三）事故现场勘查情况。</w:t>
      </w:r>
      <w:bookmarkEnd w:id="5"/>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1.事故单元基本情况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事故发生在由衡钢工程公司承揽的340厂2#热处理淬火炉举升油缸更换施工作业现场，该作业现场位于2#热处理淬火炉设备基坑（负一层）。该淬火炉由位于地面上的热处理炉和地面下设备基坑内的机械升降部分组成，地面下设备基坑属有限空间。炉底基坑呈长方形，基坑面积长18米*宽16米，面积约288平米，基坑深度4.4米，基坑南、北面两翼各布置了一个行人出入口，两出入口直线距离间距约16米，坑内布置了一套2#淬火炉举升机构及其辅属设施。基坑内环境阴暗潮湿，未安装照明设施</w:t>
      </w:r>
      <w:r>
        <w:rPr>
          <w:rFonts w:hint="eastAsia" w:ascii="仿宋" w:hAnsi="仿宋" w:eastAsia="仿宋" w:cs="仿宋"/>
          <w:sz w:val="32"/>
          <w:vertAlign w:val="superscript"/>
          <w:lang w:val="en-US" w:eastAsia="zh-CN"/>
        </w:rPr>
        <w:t>[1]</w:t>
      </w:r>
      <w:r>
        <w:rPr>
          <w:rFonts w:hint="eastAsia" w:ascii="仿宋" w:hAnsi="仿宋" w:eastAsia="仿宋" w:cs="仿宋"/>
          <w:sz w:val="32"/>
          <w:lang w:val="en-US" w:eastAsia="zh-CN"/>
        </w:rPr>
        <w:t>，未见设置有视频监控。</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2.事发区域设备设施布置情况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概况。2#热处理淬火炉基坑机械举升机构由斜坡面、移动梁、液压举升油缸组成，其功能用于完成淬火炉的步进工作，实现钢管进出淬火炉。事故发生时，2#热处理淬火炉举升油缸正在实施更换作业（如图1）。</w:t>
      </w:r>
    </w:p>
    <w:p>
      <w:pPr>
        <w:pStyle w:val="12"/>
        <w:jc w:val="center"/>
        <w:rPr>
          <w:rFonts w:hint="eastAsia" w:ascii="Times New Roman" w:hAnsi="Times New Roman" w:eastAsia="仿宋_GB2312" w:cs="Times New Roman"/>
          <w:kern w:val="0"/>
          <w:sz w:val="32"/>
          <w:szCs w:val="32"/>
          <w:lang w:val="en-US" w:eastAsia="zh-CN" w:bidi="ar-SA"/>
        </w:rPr>
      </w:pPr>
      <w:r>
        <w:rPr>
          <w:rFonts w:ascii="Times New Roman" w:hAnsi="Times New Roman" w:cs="Times New Roman"/>
          <w:sz w:val="28"/>
          <w:szCs w:val="28"/>
        </w:rPr>
        <mc:AlternateContent>
          <mc:Choice Requires="wps">
            <w:drawing>
              <wp:anchor distT="0" distB="0" distL="114300" distR="114300" simplePos="0" relativeHeight="251665408" behindDoc="0" locked="0" layoutInCell="1" allowOverlap="1">
                <wp:simplePos x="0" y="0"/>
                <wp:positionH relativeFrom="column">
                  <wp:posOffset>-580390</wp:posOffset>
                </wp:positionH>
                <wp:positionV relativeFrom="paragraph">
                  <wp:posOffset>1766570</wp:posOffset>
                </wp:positionV>
                <wp:extent cx="970280" cy="422275"/>
                <wp:effectExtent l="9525" t="9525" r="887095" b="101600"/>
                <wp:wrapNone/>
                <wp:docPr id="23" name="矩形标注 23"/>
                <wp:cNvGraphicFramePr/>
                <a:graphic xmlns:a="http://schemas.openxmlformats.org/drawingml/2006/main">
                  <a:graphicData uri="http://schemas.microsoft.com/office/word/2010/wordprocessingShape">
                    <wps:wsp>
                      <wps:cNvSpPr>
                        <a:spLocks noChangeArrowheads="true"/>
                      </wps:cNvSpPr>
                      <wps:spPr bwMode="auto">
                        <a:xfrm>
                          <a:off x="0" y="0"/>
                          <a:ext cx="970280" cy="422275"/>
                        </a:xfrm>
                        <a:prstGeom prst="wedgeRectCallout">
                          <a:avLst>
                            <a:gd name="adj1" fmla="val 133573"/>
                            <a:gd name="adj2" fmla="val 66240"/>
                          </a:avLst>
                        </a:prstGeom>
                        <a:noFill/>
                        <a:ln w="19050">
                          <a:solidFill>
                            <a:srgbClr val="FF0000"/>
                          </a:solidFill>
                          <a:miter lim="800000"/>
                        </a:ln>
                      </wps:spPr>
                      <wps:txbx>
                        <w:txbxContent>
                          <w:p>
                            <w:pPr>
                              <w:spacing w:line="400" w:lineRule="exact"/>
                              <w:jc w:val="center"/>
                              <w:rPr>
                                <w:b/>
                                <w:color w:val="FF0000"/>
                                <w:sz w:val="24"/>
                              </w:rPr>
                            </w:pPr>
                            <w:r>
                              <w:rPr>
                                <w:b/>
                                <w:color w:val="FF0000"/>
                                <w:sz w:val="24"/>
                              </w:rPr>
                              <w:t>事故</w:t>
                            </w:r>
                            <w:r>
                              <w:rPr>
                                <w:rFonts w:hint="eastAsia"/>
                                <w:b/>
                                <w:color w:val="FF0000"/>
                                <w:sz w:val="24"/>
                              </w:rPr>
                              <w:t>位</w:t>
                            </w:r>
                            <w:r>
                              <w:rPr>
                                <w:b/>
                                <w:color w:val="FF0000"/>
                                <w:sz w:val="24"/>
                              </w:rPr>
                              <w:t>置</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45.7pt;margin-top:139.1pt;height:33.25pt;width:76.4pt;z-index:251665408;mso-width-relative:page;mso-height-relative:page;" filled="f" stroked="t" coordsize="21600,21600" o:gfxdata="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BYAAABkcnMv&#10;UEsBAhQAFAAAAAgAh07iQBTBWtLZAAAACgEAAA8AAAAAAAAAAQAgAAAAOAAAAGRycy9kb3ducmV2&#10;LnhtbFBLAQIUABQAAAAIAIdO4kB3ae7jVwIAAHMEAAAOAAAAAAAAAAEAIAAAAD4BAABkcnMvZTJv&#10;RG9jLnhtbFBLBQYAAAAABgAGAFkBAAAHBgAAAAA=&#10;" adj="39652,25108">
                <v:fill on="f" focussize="0,0"/>
                <v:stroke weight="1.5pt" color="#FF0000" miterlimit="8" joinstyle="miter"/>
                <v:imagedata o:title=""/>
                <o:lock v:ext="edit" aspectratio="f"/>
                <v:textbox>
                  <w:txbxContent>
                    <w:p>
                      <w:pPr>
                        <w:spacing w:line="400" w:lineRule="exact"/>
                        <w:jc w:val="center"/>
                        <w:rPr>
                          <w:b/>
                          <w:color w:val="FF0000"/>
                          <w:sz w:val="24"/>
                        </w:rPr>
                      </w:pPr>
                      <w:r>
                        <w:rPr>
                          <w:b/>
                          <w:color w:val="FF0000"/>
                          <w:sz w:val="24"/>
                        </w:rPr>
                        <w:t>事故</w:t>
                      </w:r>
                      <w:r>
                        <w:rPr>
                          <w:rFonts w:hint="eastAsia"/>
                          <w:b/>
                          <w:color w:val="FF0000"/>
                          <w:sz w:val="24"/>
                        </w:rPr>
                        <w:t>位</w:t>
                      </w:r>
                      <w:r>
                        <w:rPr>
                          <w:b/>
                          <w:color w:val="FF0000"/>
                          <w:sz w:val="24"/>
                        </w:rPr>
                        <w:t>置</w:t>
                      </w:r>
                    </w:p>
                  </w:txbxContent>
                </v:textbox>
              </v:shape>
            </w:pict>
          </mc:Fallback>
        </mc:AlternateContent>
      </w:r>
      <w:r>
        <w:drawing>
          <wp:inline distT="0" distB="0" distL="114300" distR="114300">
            <wp:extent cx="4629150" cy="2773045"/>
            <wp:effectExtent l="0" t="0" r="0" b="8255"/>
            <wp:docPr id="2" name="图片 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true"/>
                    </pic:cNvPicPr>
                  </pic:nvPicPr>
                  <pic:blipFill>
                    <a:blip r:embed="rId6"/>
                    <a:stretch>
                      <a:fillRect/>
                    </a:stretch>
                  </pic:blipFill>
                  <pic:spPr>
                    <a:xfrm>
                      <a:off x="0" y="0"/>
                      <a:ext cx="4629150" cy="2773045"/>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图1  事故现场照片</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斜坡面（斜轨道）。2#淬火炉在地面下的基坑内布置有16个水泥墩，每个墩上安装一个钢结构的斜坡面（斜轨道），斜坡角度约30°，其上层移动梁的钢轮在这个斜坡面（斜轨道）上移动，完成移动梁的升降工作。斜坡面（斜轨道）的底端安装有钢制的轮档，以限定钢轮在斜坡面（斜轨道）上的最低位置(如图2、3)。</w:t>
      </w:r>
    </w:p>
    <w:p>
      <w:pPr>
        <w:keepNext w:val="0"/>
        <w:keepLines w:val="0"/>
        <w:pageBreakBefore w:val="0"/>
        <w:kinsoku/>
        <w:wordWrap/>
        <w:overflowPunct/>
        <w:topLinePunct w:val="0"/>
        <w:autoSpaceDE/>
        <w:autoSpaceDN/>
        <w:bidi w:val="0"/>
        <w:adjustRightInd/>
        <w:snapToGrid/>
        <w:spacing w:line="180" w:lineRule="atLeast"/>
        <w:textAlignment w:val="auto"/>
        <w:rPr>
          <w:rFonts w:hint="eastAsia" w:ascii="仿宋" w:hAnsi="仿宋" w:eastAsia="仿宋" w:cs="宋体"/>
          <w:color w:val="auto"/>
          <w:spacing w:val="-6"/>
          <w:kern w:val="2"/>
          <w:sz w:val="24"/>
          <w:szCs w:val="24"/>
          <w:shd w:val="clear" w:color="auto" w:fill="FFFFFF"/>
          <w:lang w:val="en-US" w:eastAsia="zh-CN" w:bidi="ar-SA"/>
        </w:rPr>
      </w:pPr>
      <w:bookmarkStart w:id="6" w:name="_Toc15635916_WPSOffice_Level2"/>
      <w:r>
        <w:rPr>
          <w:rFonts w:hint="eastAsia" w:ascii="仿宋" w:hAnsi="仿宋" w:eastAsia="仿宋" w:cs="宋体"/>
          <w:color w:val="auto"/>
          <w:spacing w:val="-6"/>
          <w:sz w:val="24"/>
          <w:shd w:val="clear" w:color="auto" w:fill="FFFFFF"/>
        </w:rPr>
        <w:t>-------------------</w:t>
      </w:r>
    </w:p>
    <w:p>
      <w:pPr>
        <w:keepNext w:val="0"/>
        <w:keepLines w:val="0"/>
        <w:pageBreakBefore w:val="0"/>
        <w:widowControl w:val="0"/>
        <w:kinsoku/>
        <w:wordWrap/>
        <w:overflowPunct/>
        <w:topLinePunct w:val="0"/>
        <w:autoSpaceDE/>
        <w:autoSpaceDN/>
        <w:bidi w:val="0"/>
        <w:adjustRightInd/>
        <w:snapToGrid/>
        <w:spacing w:line="180" w:lineRule="atLeast"/>
        <w:ind w:firstLine="456" w:firstLineChars="200"/>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[1]《建筑与市政施工现场安全卫生与职业健康通用规范》（GB 55034-2022）第3.9.2 条：施工单位应根据施工环境设置通风、换气和照明等设备。</w:t>
      </w:r>
    </w:p>
    <w:p>
      <w:pPr>
        <w:keepNext w:val="0"/>
        <w:keepLines w:val="0"/>
        <w:pageBreakBefore w:val="0"/>
        <w:widowControl w:val="0"/>
        <w:kinsoku/>
        <w:wordWrap/>
        <w:overflowPunct/>
        <w:topLinePunct w:val="0"/>
        <w:autoSpaceDE/>
        <w:autoSpaceDN/>
        <w:bidi w:val="0"/>
        <w:adjustRightInd/>
        <w:snapToGrid/>
        <w:spacing w:line="180" w:lineRule="atLeast"/>
        <w:ind w:firstLine="456" w:firstLineChars="200"/>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《建筑环境通用规范》GB 55016-2021第3.1.3 条：照明设置应符合下列规定:1 当下列场所正常照明供电电源失效时，应设置应急照明∶2）人员处于潜在危险之中的场所，应设置安全照明;</w:t>
      </w:r>
    </w:p>
    <w:p>
      <w:pPr>
        <w:keepNext w:val="0"/>
        <w:keepLines w:val="0"/>
        <w:pageBreakBefore w:val="0"/>
        <w:widowControl/>
        <w:kinsoku/>
        <w:wordWrap/>
        <w:overflowPunct/>
        <w:topLinePunct w:val="0"/>
        <w:autoSpaceDE/>
        <w:autoSpaceDN/>
        <w:bidi w:val="0"/>
        <w:adjustRightInd/>
        <w:snapToGrid/>
        <w:spacing w:line="180" w:lineRule="atLeast"/>
        <w:ind w:firstLine="6612" w:firstLineChars="2900"/>
        <w:jc w:val="left"/>
        <w:textAlignment w:val="auto"/>
        <w:rPr>
          <w:rFonts w:hint="eastAsia"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pPr>
        <w:bidi w:val="0"/>
      </w:pPr>
    </w:p>
    <w:bookmarkEnd w:id="6"/>
    <w:p>
      <w:pPr>
        <w:jc w:val="center"/>
        <w:rPr>
          <w:sz w:val="28"/>
          <w:szCs w:val="28"/>
        </w:rPr>
      </w:pPr>
      <w:r>
        <w:rPr>
          <w:rFonts w:ascii="Times New Roman" w:hAnsi="Times New Roman" w:cs="Times New Roman"/>
          <w:sz w:val="28"/>
          <w:szCs w:val="28"/>
        </w:rPr>
        <mc:AlternateContent>
          <mc:Choice Requires="wps">
            <w:drawing>
              <wp:anchor distT="0" distB="0" distL="114300" distR="114300" simplePos="0" relativeHeight="251660288" behindDoc="0" locked="0" layoutInCell="1" allowOverlap="1">
                <wp:simplePos x="0" y="0"/>
                <wp:positionH relativeFrom="column">
                  <wp:posOffset>4403090</wp:posOffset>
                </wp:positionH>
                <wp:positionV relativeFrom="paragraph">
                  <wp:posOffset>1408430</wp:posOffset>
                </wp:positionV>
                <wp:extent cx="1129665" cy="638175"/>
                <wp:effectExtent l="1322705" t="9525" r="24130" b="152400"/>
                <wp:wrapNone/>
                <wp:docPr id="6" name="矩形标注 6"/>
                <wp:cNvGraphicFramePr/>
                <a:graphic xmlns:a="http://schemas.openxmlformats.org/drawingml/2006/main">
                  <a:graphicData uri="http://schemas.microsoft.com/office/word/2010/wordprocessingShape">
                    <wps:wsp>
                      <wps:cNvSpPr>
                        <a:spLocks noChangeArrowheads="true"/>
                      </wps:cNvSpPr>
                      <wps:spPr bwMode="auto">
                        <a:xfrm>
                          <a:off x="0" y="0"/>
                          <a:ext cx="1129665" cy="638175"/>
                        </a:xfrm>
                        <a:prstGeom prst="wedgeRectCallout">
                          <a:avLst>
                            <a:gd name="adj1" fmla="val -160429"/>
                            <a:gd name="adj2" fmla="val 68659"/>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水泥墩及斜坡面（斜轨道）</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46.7pt;margin-top:110.9pt;height:50.25pt;width:88.95pt;z-index:251660288;mso-width-relative:page;mso-height-relative:page;" filled="f" stroked="t" coordsize="21600,21600" o:gfxdata="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BYAAABk&#10;cnMvUEsBAhQAFAAAAAgAh07iQKGuxnvdAAAACwEAAA8AAAAAAAAAAQAgAAAAOAAAAGRycy9kb3du&#10;cmV2LnhtbFBLAQIUABQAAAAIAIdO4kDDXMWIVgIAAHMEAAAOAAAAAAAAAAEAIAAAAEIBAABkcnMv&#10;ZTJvRG9jLnhtbFBLBQYAAAAABgAGAFkBAAAKBgAAAAA=&#10;" adj="0,25630">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水泥墩及斜坡面（斜轨道）</w:t>
                      </w:r>
                    </w:p>
                  </w:txbxContent>
                </v:textbox>
              </v:shape>
            </w:pict>
          </mc:Fallback>
        </mc:AlternateContent>
      </w:r>
      <w:r>
        <w:drawing>
          <wp:inline distT="0" distB="0" distL="0" distR="0">
            <wp:extent cx="3307080" cy="3322320"/>
            <wp:effectExtent l="0" t="0" r="7620" b="11430"/>
            <wp:docPr id="5"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true"/>
                    </pic:cNvPicPr>
                  </pic:nvPicPr>
                  <pic:blipFill>
                    <a:blip r:embed="rId7"/>
                    <a:stretch>
                      <a:fillRect/>
                    </a:stretch>
                  </pic:blipFill>
                  <pic:spPr>
                    <a:xfrm>
                      <a:off x="0" y="0"/>
                      <a:ext cx="3333020" cy="3348669"/>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图2 水泥墩及斜坡面（斜轨道）平面布置图</w:t>
      </w:r>
    </w:p>
    <w:p>
      <w:pPr>
        <w:jc w:val="center"/>
        <w:rPr>
          <w:sz w:val="28"/>
          <w:szCs w:val="28"/>
        </w:rPr>
      </w:pPr>
      <w:r>
        <w:rPr>
          <w:rFonts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margin">
                  <wp:align>left</wp:align>
                </wp:positionH>
                <wp:positionV relativeFrom="paragraph">
                  <wp:posOffset>283845</wp:posOffset>
                </wp:positionV>
                <wp:extent cx="861695" cy="414020"/>
                <wp:effectExtent l="9525" t="9525" r="805180" b="300355"/>
                <wp:wrapNone/>
                <wp:docPr id="11" name="矩形标注 11"/>
                <wp:cNvGraphicFramePr/>
                <a:graphic xmlns:a="http://schemas.openxmlformats.org/drawingml/2006/main">
                  <a:graphicData uri="http://schemas.microsoft.com/office/word/2010/wordprocessingShape">
                    <wps:wsp>
                      <wps:cNvSpPr>
                        <a:spLocks noChangeArrowheads="true"/>
                      </wps:cNvSpPr>
                      <wps:spPr bwMode="auto">
                        <a:xfrm>
                          <a:off x="1147313" y="6944264"/>
                          <a:ext cx="861695" cy="414020"/>
                        </a:xfrm>
                        <a:prstGeom prst="wedgeRectCallout">
                          <a:avLst>
                            <a:gd name="adj1" fmla="val 134396"/>
                            <a:gd name="adj2" fmla="val 109444"/>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钢</w:t>
                            </w:r>
                            <w:r>
                              <w:rPr>
                                <w:sz w:val="24"/>
                                <w:szCs w:val="24"/>
                              </w:rPr>
                              <w:t>轮</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top:22.35pt;height:32.6pt;width:67.85pt;mso-position-horizontal:left;mso-position-horizontal-relative:margin;z-index:251664384;mso-width-relative:page;mso-height-relative:page;" filled="f" stroked="t" coordsize="21600,21600" o:gfxdata="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W&#10;AAAAZHJzL1BLAQIUABQAAAAIAIdO4kCHr8H41QAAAAcBAAAPAAAAAAAAAAEAIAAAADgAAABkcnMv&#10;ZG93bnJldi54bWxQSwECFAAUAAAACACHTuJAMhPzP2ICAACABAAADgAAAAAAAAABACAAAAA6AQAA&#10;ZHJzL2Uyb0RvYy54bWxQSwUGAAAAAAYABgBZAQAADgYAAAAA&#10;" adj="39830,34440">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钢</w:t>
                      </w:r>
                      <w:r>
                        <w:rPr>
                          <w:sz w:val="24"/>
                          <w:szCs w:val="24"/>
                        </w:rPr>
                        <w:t>轮</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1312" behindDoc="0" locked="0" layoutInCell="1" allowOverlap="1">
                <wp:simplePos x="0" y="0"/>
                <wp:positionH relativeFrom="margin">
                  <wp:posOffset>55880</wp:posOffset>
                </wp:positionH>
                <wp:positionV relativeFrom="paragraph">
                  <wp:posOffset>844550</wp:posOffset>
                </wp:positionV>
                <wp:extent cx="861695" cy="414020"/>
                <wp:effectExtent l="9525" t="9525" r="709930" b="90805"/>
                <wp:wrapNone/>
                <wp:docPr id="24" name="矩形标注 24"/>
                <wp:cNvGraphicFramePr/>
                <a:graphic xmlns:a="http://schemas.openxmlformats.org/drawingml/2006/main">
                  <a:graphicData uri="http://schemas.microsoft.com/office/word/2010/wordprocessingShape">
                    <wps:wsp>
                      <wps:cNvSpPr>
                        <a:spLocks noChangeArrowheads="true"/>
                      </wps:cNvSpPr>
                      <wps:spPr bwMode="auto">
                        <a:xfrm>
                          <a:off x="0" y="0"/>
                          <a:ext cx="861695" cy="414020"/>
                        </a:xfrm>
                        <a:prstGeom prst="wedgeRectCallout">
                          <a:avLst>
                            <a:gd name="adj1" fmla="val 122383"/>
                            <a:gd name="adj2" fmla="val 63605"/>
                          </a:avLst>
                        </a:prstGeom>
                        <a:noFill/>
                        <a:ln w="19050">
                          <a:solidFill>
                            <a:srgbClr val="FF0000"/>
                          </a:solidFill>
                          <a:miter lim="800000"/>
                        </a:ln>
                      </wps:spPr>
                      <wps:txbx>
                        <w:txbxContent>
                          <w:p>
                            <w:pPr>
                              <w:ind w:firstLine="160" w:firstLineChars="50"/>
                            </w:pPr>
                            <w:r>
                              <w:rPr>
                                <w:rFonts w:hint="eastAsia" w:ascii="仿宋" w:hAnsi="仿宋" w:eastAsia="仿宋" w:cs="仿宋"/>
                                <w:sz w:val="32"/>
                                <w:lang w:val="en-US" w:eastAsia="zh-CN"/>
                              </w:rPr>
                              <w:t>轮档</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4.4pt;margin-top:66.5pt;height:32.6pt;width:67.85pt;mso-position-horizontal-relative:margin;z-index:251661312;mso-width-relative:page;mso-height-relative:page;" filled="f" stroked="t" coordsize="21600,21600" o:gfxdata="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AZOELt2QAAAAkBAAAPAAAAAAAAAAEAIAAAADgAAABkcnMvZG93bnJldi54&#10;bWxQSwECFAAUAAAACACHTuJALMSkM1UCAABzBAAADgAAAAAAAAABACAAAAA+AQAAZHJzL2Uyb0Rv&#10;Yy54bWxQSwUGAAAAAAYABgBZAQAABQYAAAAA&#10;" adj="37235,24539">
                <v:fill on="f" focussize="0,0"/>
                <v:stroke weight="1.5pt" color="#FF0000" miterlimit="8" joinstyle="miter"/>
                <v:imagedata o:title=""/>
                <o:lock v:ext="edit" aspectratio="f"/>
                <v:textbox>
                  <w:txbxContent>
                    <w:p>
                      <w:pPr>
                        <w:ind w:firstLine="160" w:firstLineChars="50"/>
                      </w:pPr>
                      <w:r>
                        <w:rPr>
                          <w:rFonts w:hint="eastAsia" w:ascii="仿宋" w:hAnsi="仿宋" w:eastAsia="仿宋" w:cs="仿宋"/>
                          <w:sz w:val="32"/>
                          <w:lang w:val="en-US" w:eastAsia="zh-CN"/>
                        </w:rPr>
                        <w:t>轮档</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3360" behindDoc="0" locked="0" layoutInCell="1" allowOverlap="1">
                <wp:simplePos x="0" y="0"/>
                <wp:positionH relativeFrom="margin">
                  <wp:posOffset>4460875</wp:posOffset>
                </wp:positionH>
                <wp:positionV relativeFrom="paragraph">
                  <wp:posOffset>327025</wp:posOffset>
                </wp:positionV>
                <wp:extent cx="1000760" cy="638175"/>
                <wp:effectExtent l="1179830" t="9525" r="10160" b="152400"/>
                <wp:wrapNone/>
                <wp:docPr id="25" name="矩形标注 25"/>
                <wp:cNvGraphicFramePr/>
                <a:graphic xmlns:a="http://schemas.openxmlformats.org/drawingml/2006/main">
                  <a:graphicData uri="http://schemas.microsoft.com/office/word/2010/wordprocessingShape">
                    <wps:wsp>
                      <wps:cNvSpPr>
                        <a:spLocks noChangeArrowheads="true"/>
                      </wps:cNvSpPr>
                      <wps:spPr bwMode="auto">
                        <a:xfrm>
                          <a:off x="0" y="0"/>
                          <a:ext cx="1000665" cy="638175"/>
                        </a:xfrm>
                        <a:prstGeom prst="wedgeRectCallout">
                          <a:avLst>
                            <a:gd name="adj1" fmla="val -160429"/>
                            <a:gd name="adj2" fmla="val 68659"/>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斜坡面（斜轨道）</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51.25pt;margin-top:25.75pt;height:50.25pt;width:78.8pt;mso-position-horizontal-relative:margin;z-index:251663360;mso-width-relative:page;mso-height-relative:page;" filled="f" stroked="t" coordsize="21600,21600" o:gfxdata="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RsH1otsAAAAKAQAADwAAAAAAAAABACAAAAA4AAAAZHJzL2Rvd25y&#10;ZXYueG1sUEsBAhQAFAAAAAgAh07iQOul39ZXAgAAdQQAAA4AAAAAAAAAAQAgAAAAQAEAAGRycy9l&#10;Mm9Eb2MueG1sUEsFBgAAAAAGAAYAWQEAAAkGAAAAAA==&#10;" adj="0,25630">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斜坡面（斜轨道）</w:t>
                      </w:r>
                    </w:p>
                  </w:txbxContent>
                </v:textbox>
              </v:shape>
            </w:pict>
          </mc:Fallback>
        </mc:AlternateContent>
      </w:r>
      <w:r>
        <w:rPr>
          <w:rFonts w:ascii="Times New Roman" w:hAnsi="Times New Roman" w:cs="Times New Roman"/>
          <w:sz w:val="28"/>
          <w:szCs w:val="28"/>
        </w:rPr>
        <mc:AlternateContent>
          <mc:Choice Requires="wps">
            <w:drawing>
              <wp:anchor distT="0" distB="0" distL="114300" distR="114300" simplePos="0" relativeHeight="251662336" behindDoc="0" locked="0" layoutInCell="1" allowOverlap="1">
                <wp:simplePos x="0" y="0"/>
                <wp:positionH relativeFrom="margin">
                  <wp:posOffset>4429125</wp:posOffset>
                </wp:positionH>
                <wp:positionV relativeFrom="paragraph">
                  <wp:posOffset>1638300</wp:posOffset>
                </wp:positionV>
                <wp:extent cx="698500" cy="370840"/>
                <wp:effectExtent l="897255" t="9525" r="23495" b="191135"/>
                <wp:wrapNone/>
                <wp:docPr id="26" name="矩形标注 26"/>
                <wp:cNvGraphicFramePr/>
                <a:graphic xmlns:a="http://schemas.openxmlformats.org/drawingml/2006/main">
                  <a:graphicData uri="http://schemas.microsoft.com/office/word/2010/wordprocessingShape">
                    <wps:wsp>
                      <wps:cNvSpPr>
                        <a:spLocks noChangeArrowheads="true"/>
                      </wps:cNvSpPr>
                      <wps:spPr bwMode="auto">
                        <a:xfrm>
                          <a:off x="0" y="0"/>
                          <a:ext cx="698500" cy="370840"/>
                        </a:xfrm>
                        <a:prstGeom prst="wedgeRectCallout">
                          <a:avLst>
                            <a:gd name="adj1" fmla="val -167839"/>
                            <a:gd name="adj2" fmla="val 89595"/>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水泥墩</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48.75pt;margin-top:129pt;height:29.2pt;width:55pt;mso-position-horizontal-relative:margin;z-index:251662336;mso-width-relative:page;mso-height-relative:page;" filled="f" stroked="t" coordsize="21600,21600" o:gfxdata="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FgAAAGRy&#10;cy9QSwECFAAUAAAACACHTuJAm7NAjdoAAAALAQAADwAAAAAAAAABACAAAAA4AAAAZHJzL2Rvd25y&#10;ZXYueG1sUEsBAhQAFAAAAAgAh07iQE5uIvtYAgAAdAQAAA4AAAAAAAAAAQAgAAAAPwEAAGRycy9l&#10;Mm9Eb2MueG1sUEsFBgAAAAAGAAYAWQEAAAkGAAAAAA==&#10;" adj="0,30153">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水泥墩</w:t>
                      </w:r>
                    </w:p>
                  </w:txbxContent>
                </v:textbox>
              </v:shape>
            </w:pict>
          </mc:Fallback>
        </mc:AlternateContent>
      </w:r>
      <w:r>
        <w:rPr>
          <w:sz w:val="28"/>
          <w:szCs w:val="28"/>
        </w:rPr>
        <w:drawing>
          <wp:inline distT="0" distB="0" distL="0" distR="0">
            <wp:extent cx="3289300" cy="2466975"/>
            <wp:effectExtent l="0" t="0" r="6350" b="9525"/>
            <wp:docPr id="7" name="图片 7" descr="G:\DXL1\专家评审\事故调查及直接原因技术分析报告\衡阳钢管厂20241101\现场图片\斜坡面.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7" descr="G:\DXL1\专家评审\事故调查及直接原因技术分析报告\衡阳钢管厂20241101\现场图片\斜坡面.jpg"/>
                    <pic:cNvPicPr>
                      <a:picLocks noChangeAspect="true" noChangeArrowheads="true"/>
                    </pic:cNvPicPr>
                  </pic:nvPicPr>
                  <pic:blipFill>
                    <a:blip r:embed="rId8" cstate="print">
                      <a:extLst>
                        <a:ext uri="{28A0092B-C50C-407E-A947-70E740481C1C}">
                          <a14:useLocalDpi xmlns:a14="http://schemas.microsoft.com/office/drawing/2010/main" val="false"/>
                        </a:ext>
                      </a:extLst>
                    </a:blip>
                    <a:srcRect/>
                    <a:stretch>
                      <a:fillRect/>
                    </a:stretch>
                  </pic:blipFill>
                  <pic:spPr>
                    <a:xfrm>
                      <a:off x="0" y="0"/>
                      <a:ext cx="3303086" cy="247741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图3 水泥墩及斜坡面（斜轨道）照片</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3）移动梁。移动梁是淬火炉机械部分上下升降的传动机构，其动力是源于安装在梁底部的两个液压缸，液压缸内的液压油在液压站的作用下，缸内油压作用于缸内的活塞上，推动活塞移动而将力量作用于移动梁上，通过钢滚轮的上、下移动，实现移动梁的升降工作（如图4）。</w:t>
      </w:r>
    </w:p>
    <w:p>
      <w:pPr>
        <w:jc w:val="center"/>
        <w:rPr>
          <w:rFonts w:hint="eastAsia" w:ascii="仿宋" w:hAnsi="仿宋" w:eastAsia="仿宋" w:cs="仿宋"/>
          <w:sz w:val="32"/>
          <w:szCs w:val="32"/>
        </w:rPr>
      </w:pPr>
      <w:r>
        <w:rPr>
          <w:rFonts w:hint="eastAsia" w:ascii="仿宋" w:hAnsi="仿宋" w:eastAsia="仿宋" w:cs="仿宋"/>
          <w:sz w:val="32"/>
          <w:szCs w:val="32"/>
        </w:rPr>
        <w:drawing>
          <wp:inline distT="0" distB="0" distL="0" distR="0">
            <wp:extent cx="3329305" cy="2496820"/>
            <wp:effectExtent l="0" t="0" r="4445" b="17780"/>
            <wp:docPr id="27" name="图片 27" descr="G:\DXL1\专家评审\事故调查及直接原因技术分析报告\衡阳钢管厂20241101\现场图片\2#炉地下结构3.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7" name="图片 27" descr="G:\DXL1\专家评审\事故调查及直接原因技术分析报告\衡阳钢管厂20241101\现场图片\2#炉地下结构3.jpg"/>
                    <pic:cNvPicPr>
                      <a:picLocks noChangeAspect="true" noChangeArrowheads="true"/>
                    </pic:cNvPicPr>
                  </pic:nvPicPr>
                  <pic:blipFill>
                    <a:blip r:embed="rId9" cstate="print">
                      <a:extLst>
                        <a:ext uri="{28A0092B-C50C-407E-A947-70E740481C1C}">
                          <a14:useLocalDpi xmlns:a14="http://schemas.microsoft.com/office/drawing/2010/main" val="false"/>
                        </a:ext>
                      </a:extLst>
                    </a:blip>
                    <a:srcRect/>
                    <a:stretch>
                      <a:fillRect/>
                    </a:stretch>
                  </pic:blipFill>
                  <pic:spPr>
                    <a:xfrm>
                      <a:off x="0" y="0"/>
                      <a:ext cx="3339914" cy="2505032"/>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图4  移动梁照片</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（4）液压举升油缸。设备型号 CD250B200/140-1120，油缸缸径200mm，活塞杆直径140mm，伸出最大行程1120mm，工作行程1106mm,工作压力13MPa。其安装位置位于移动梁的下部，2#淬火炉共配置有二个相同型号的液压缸，缸体安装时角度与斜坡面（斜轨道）角度一致，是推动淬火炉升降的构件，缸体两站安装有耳环形状的连接件，其下端安装在专用的水泥基础上，上端安装在移动梁上，分别与底座及移动梁上配套的耳环连接件相接，耳环孔中用轴销销住，且在销轴两端设止脱挡板，防止销轴在运动中从耳环孔中脱出，液压缸的活塞杆端（上端）与移动梁相连接（如图5、6）。</w:t>
      </w: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75648" behindDoc="0" locked="0" layoutInCell="1" allowOverlap="1">
                <wp:simplePos x="0" y="0"/>
                <wp:positionH relativeFrom="margin">
                  <wp:posOffset>3810</wp:posOffset>
                </wp:positionH>
                <wp:positionV relativeFrom="paragraph">
                  <wp:posOffset>1743075</wp:posOffset>
                </wp:positionV>
                <wp:extent cx="922655" cy="594995"/>
                <wp:effectExtent l="9525" t="9525" r="2020570" b="24130"/>
                <wp:wrapNone/>
                <wp:docPr id="28" name="矩形标注 28"/>
                <wp:cNvGraphicFramePr/>
                <a:graphic xmlns:a="http://schemas.openxmlformats.org/drawingml/2006/main">
                  <a:graphicData uri="http://schemas.microsoft.com/office/word/2010/wordprocessingShape">
                    <wps:wsp>
                      <wps:cNvSpPr>
                        <a:spLocks noChangeArrowheads="true"/>
                      </wps:cNvSpPr>
                      <wps:spPr bwMode="auto">
                        <a:xfrm>
                          <a:off x="0" y="0"/>
                          <a:ext cx="922655" cy="594995"/>
                        </a:xfrm>
                        <a:prstGeom prst="wedgeRectCallout">
                          <a:avLst>
                            <a:gd name="adj1" fmla="val 259342"/>
                            <a:gd name="adj2" fmla="val -7174"/>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接</w:t>
                            </w:r>
                            <w:r>
                              <w:rPr>
                                <w:sz w:val="24"/>
                                <w:szCs w:val="24"/>
                              </w:rPr>
                              <w:t>液压</w:t>
                            </w:r>
                            <w:r>
                              <w:rPr>
                                <w:rFonts w:hint="eastAsia"/>
                                <w:sz w:val="24"/>
                                <w:szCs w:val="24"/>
                              </w:rPr>
                              <w:t>站油</w:t>
                            </w:r>
                            <w:r>
                              <w:rPr>
                                <w:sz w:val="24"/>
                                <w:szCs w:val="24"/>
                              </w:rPr>
                              <w:t>管</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0.3pt;margin-top:137.25pt;height:46.85pt;width:72.65pt;mso-position-horizontal-relative:margin;z-index:251675648;mso-width-relative:page;mso-height-relative:page;" filled="f" stroked="t" coordsize="21600,21600" o:gfxdata="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BYAAABkcnMvUEsB&#10;AhQAFAAAAAgAh07iQJ4NsG3YAAAACAEAAA8AAAAAAAAAAQAgAAAAOAAAAGRycy9kb3ducmV2Lnht&#10;bFBLAQIUABQAAAAIAIdO4kC4q8UMVQIAAHMEAAAOAAAAAAAAAAEAIAAAAD0BAABkcnMvZTJvRG9j&#10;LnhtbFBLBQYAAAAABgAGAFkBAAAEBgAAAAA=&#10;" adj="66818,9250">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接</w:t>
                      </w:r>
                      <w:r>
                        <w:rPr>
                          <w:sz w:val="24"/>
                          <w:szCs w:val="24"/>
                        </w:rPr>
                        <w:t>液压</w:t>
                      </w:r>
                      <w:r>
                        <w:rPr>
                          <w:rFonts w:hint="eastAsia"/>
                          <w:sz w:val="24"/>
                          <w:szCs w:val="24"/>
                        </w:rPr>
                        <w:t>站油</w:t>
                      </w:r>
                      <w:r>
                        <w:rPr>
                          <w:sz w:val="24"/>
                          <w:szCs w:val="24"/>
                        </w:rPr>
                        <w:t>管</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71552" behindDoc="0" locked="0" layoutInCell="1" allowOverlap="1">
                <wp:simplePos x="0" y="0"/>
                <wp:positionH relativeFrom="margin">
                  <wp:posOffset>-73025</wp:posOffset>
                </wp:positionH>
                <wp:positionV relativeFrom="paragraph">
                  <wp:posOffset>1251585</wp:posOffset>
                </wp:positionV>
                <wp:extent cx="991235" cy="379095"/>
                <wp:effectExtent l="9525" t="9525" r="580390" b="11430"/>
                <wp:wrapNone/>
                <wp:docPr id="29" name="矩形标注 29"/>
                <wp:cNvGraphicFramePr/>
                <a:graphic xmlns:a="http://schemas.openxmlformats.org/drawingml/2006/main">
                  <a:graphicData uri="http://schemas.microsoft.com/office/word/2010/wordprocessingShape">
                    <wps:wsp>
                      <wps:cNvSpPr>
                        <a:spLocks noChangeArrowheads="true"/>
                      </wps:cNvSpPr>
                      <wps:spPr bwMode="auto">
                        <a:xfrm>
                          <a:off x="0" y="0"/>
                          <a:ext cx="991235" cy="379095"/>
                        </a:xfrm>
                        <a:prstGeom prst="wedgeRectCallout">
                          <a:avLst>
                            <a:gd name="adj1" fmla="val 99378"/>
                            <a:gd name="adj2" fmla="val 43627"/>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液</w:t>
                            </w:r>
                            <w:r>
                              <w:rPr>
                                <w:sz w:val="24"/>
                                <w:szCs w:val="24"/>
                              </w:rPr>
                              <w:t>压</w:t>
                            </w:r>
                            <w:r>
                              <w:rPr>
                                <w:rFonts w:hint="eastAsia"/>
                                <w:sz w:val="24"/>
                                <w:szCs w:val="24"/>
                              </w:rPr>
                              <w:t>缸基</w:t>
                            </w:r>
                            <w:r>
                              <w:rPr>
                                <w:sz w:val="24"/>
                                <w:szCs w:val="24"/>
                              </w:rPr>
                              <w:t>础</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5.75pt;margin-top:98.55pt;height:29.85pt;width:78.05pt;mso-position-horizontal-relative:margin;z-index:251671552;mso-width-relative:page;mso-height-relative:page;" filled="f" stroked="t" coordsize="21600,21600" o:gfxdata="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CCkMQdoAAAALAQAADwAAAAAAAAABACAAAAA4AAAAZHJzL2Rvd25yZXYu&#10;eG1sUEsBAhQAFAAAAAgAh07iQMaaDnJVAgAAcgQAAA4AAAAAAAAAAQAgAAAAPwEAAGRycy9lMm9E&#10;b2MueG1sUEsFBgAAAAAGAAYAWQEAAAYGAAAAAA==&#10;" adj="32266,20223">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液</w:t>
                      </w:r>
                      <w:r>
                        <w:rPr>
                          <w:sz w:val="24"/>
                          <w:szCs w:val="24"/>
                        </w:rPr>
                        <w:t>压</w:t>
                      </w:r>
                      <w:r>
                        <w:rPr>
                          <w:rFonts w:hint="eastAsia"/>
                          <w:sz w:val="24"/>
                          <w:szCs w:val="24"/>
                        </w:rPr>
                        <w:t>缸基</w:t>
                      </w:r>
                      <w:r>
                        <w:rPr>
                          <w:sz w:val="24"/>
                          <w:szCs w:val="24"/>
                        </w:rPr>
                        <w:t>础</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74624" behindDoc="0" locked="0" layoutInCell="1" allowOverlap="1">
                <wp:simplePos x="0" y="0"/>
                <wp:positionH relativeFrom="margin">
                  <wp:posOffset>-46990</wp:posOffset>
                </wp:positionH>
                <wp:positionV relativeFrom="paragraph">
                  <wp:posOffset>768350</wp:posOffset>
                </wp:positionV>
                <wp:extent cx="853440" cy="379095"/>
                <wp:effectExtent l="9525" t="9525" r="1365885" b="316230"/>
                <wp:wrapNone/>
                <wp:docPr id="30" name="矩形标注 30"/>
                <wp:cNvGraphicFramePr/>
                <a:graphic xmlns:a="http://schemas.openxmlformats.org/drawingml/2006/main">
                  <a:graphicData uri="http://schemas.microsoft.com/office/word/2010/wordprocessingShape">
                    <wps:wsp>
                      <wps:cNvSpPr>
                        <a:spLocks noChangeArrowheads="true"/>
                      </wps:cNvSpPr>
                      <wps:spPr bwMode="auto">
                        <a:xfrm>
                          <a:off x="0" y="0"/>
                          <a:ext cx="853440" cy="379095"/>
                        </a:xfrm>
                        <a:prstGeom prst="wedgeRectCallout">
                          <a:avLst>
                            <a:gd name="adj1" fmla="val 199658"/>
                            <a:gd name="adj2" fmla="val 123272"/>
                          </a:avLst>
                        </a:prstGeom>
                        <a:noFill/>
                        <a:ln w="19050">
                          <a:solidFill>
                            <a:srgbClr val="FF0000"/>
                          </a:solidFill>
                          <a:miter lim="800000"/>
                        </a:ln>
                      </wps:spPr>
                      <wps:txbx>
                        <w:txbxContent>
                          <w:p>
                            <w:pPr>
                              <w:spacing w:line="400" w:lineRule="exact"/>
                              <w:jc w:val="center"/>
                              <w:rPr>
                                <w:b/>
                                <w:color w:val="FF0000"/>
                                <w:sz w:val="24"/>
                                <w:szCs w:val="24"/>
                              </w:rPr>
                            </w:pPr>
                            <w:r>
                              <w:rPr>
                                <w:sz w:val="24"/>
                                <w:szCs w:val="24"/>
                              </w:rPr>
                              <w:t>油</w:t>
                            </w:r>
                            <w:r>
                              <w:rPr>
                                <w:rFonts w:hint="eastAsia"/>
                                <w:sz w:val="24"/>
                                <w:szCs w:val="24"/>
                              </w:rPr>
                              <w:t>管</w:t>
                            </w:r>
                            <w:r>
                              <w:rPr>
                                <w:sz w:val="24"/>
                                <w:szCs w:val="24"/>
                              </w:rPr>
                              <w:t>接头</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7pt;margin-top:60.5pt;height:29.85pt;width:67.2pt;mso-position-horizontal-relative:margin;z-index:251674624;mso-width-relative:page;mso-height-relative:page;" filled="f" stroked="t" coordsize="21600,21600" o:gfxdata="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WAAAAZHJzL1BL&#10;AQIUABQAAAAIAIdO4kAuqojh2gAAAAoBAAAPAAAAAAAAAAEAIAAAADgAAABkcnMvZG93bnJldi54&#10;bWxQSwECFAAUAAAACACHTuJAJ74ySlQCAAB0BAAADgAAAAAAAAABACAAAAA/AQAAZHJzL2Uyb0Rv&#10;Yy54bWxQSwUGAAAAAAYABgBZAQAABQYAAAAA&#10;" adj="53926,37427">
                <v:fill on="f" focussize="0,0"/>
                <v:stroke weight="1.5pt" color="#FF0000" miterlimit="8" joinstyle="miter"/>
                <v:imagedata o:title=""/>
                <o:lock v:ext="edit" aspectratio="f"/>
                <v:textbox>
                  <w:txbxContent>
                    <w:p>
                      <w:pPr>
                        <w:spacing w:line="400" w:lineRule="exact"/>
                        <w:jc w:val="center"/>
                        <w:rPr>
                          <w:b/>
                          <w:color w:val="FF0000"/>
                          <w:sz w:val="24"/>
                          <w:szCs w:val="24"/>
                        </w:rPr>
                      </w:pPr>
                      <w:r>
                        <w:rPr>
                          <w:sz w:val="24"/>
                          <w:szCs w:val="24"/>
                        </w:rPr>
                        <w:t>油</w:t>
                      </w:r>
                      <w:r>
                        <w:rPr>
                          <w:rFonts w:hint="eastAsia"/>
                          <w:sz w:val="24"/>
                          <w:szCs w:val="24"/>
                        </w:rPr>
                        <w:t>管</w:t>
                      </w:r>
                      <w:r>
                        <w:rPr>
                          <w:sz w:val="24"/>
                          <w:szCs w:val="24"/>
                        </w:rPr>
                        <w:t>接头</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70528" behindDoc="0" locked="0" layoutInCell="1" allowOverlap="1">
                <wp:simplePos x="0" y="0"/>
                <wp:positionH relativeFrom="margin">
                  <wp:posOffset>-99060</wp:posOffset>
                </wp:positionH>
                <wp:positionV relativeFrom="paragraph">
                  <wp:posOffset>113030</wp:posOffset>
                </wp:positionV>
                <wp:extent cx="999490" cy="379095"/>
                <wp:effectExtent l="9525" t="9525" r="1162685" b="830580"/>
                <wp:wrapNone/>
                <wp:docPr id="31" name="矩形标注 31"/>
                <wp:cNvGraphicFramePr/>
                <a:graphic xmlns:a="http://schemas.openxmlformats.org/drawingml/2006/main">
                  <a:graphicData uri="http://schemas.microsoft.com/office/word/2010/wordprocessingShape">
                    <wps:wsp>
                      <wps:cNvSpPr>
                        <a:spLocks noChangeArrowheads="true"/>
                      </wps:cNvSpPr>
                      <wps:spPr bwMode="auto">
                        <a:xfrm>
                          <a:off x="0" y="0"/>
                          <a:ext cx="999502" cy="379095"/>
                        </a:xfrm>
                        <a:prstGeom prst="wedgeRectCallout">
                          <a:avLst>
                            <a:gd name="adj1" fmla="val 159227"/>
                            <a:gd name="adj2" fmla="val 255251"/>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液</w:t>
                            </w:r>
                            <w:r>
                              <w:rPr>
                                <w:sz w:val="24"/>
                                <w:szCs w:val="24"/>
                              </w:rPr>
                              <w:t>压</w:t>
                            </w:r>
                            <w:r>
                              <w:rPr>
                                <w:rFonts w:hint="eastAsia"/>
                                <w:sz w:val="24"/>
                                <w:szCs w:val="24"/>
                              </w:rPr>
                              <w:t>缸下</w:t>
                            </w:r>
                            <w:r>
                              <w:rPr>
                                <w:sz w:val="24"/>
                                <w:szCs w:val="24"/>
                              </w:rPr>
                              <w:t>端</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7.8pt;margin-top:8.9pt;height:29.85pt;width:78.7pt;mso-position-horizontal-relative:margin;z-index:251670528;mso-width-relative:page;mso-height-relative:page;" filled="f" stroked="t" coordsize="21600,21600" o:gfxdata="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DsVTxp1AAAAAkBAAAPAAAAAAAAAAEAIAAAADgAAABkcnMvZG93bnJldi54bWxQ&#10;SwECFAAUAAAACACHTuJAq6nd+lcCAAB0BAAADgAAAAAAAAABACAAAAA5AQAAZHJzL2Uyb0RvYy54&#10;bWxQSwUGAAAAAAYABgBZAQAAAgYAAAAA&#10;" adj="45193,65934">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液</w:t>
                      </w:r>
                      <w:r>
                        <w:rPr>
                          <w:sz w:val="24"/>
                          <w:szCs w:val="24"/>
                        </w:rPr>
                        <w:t>压</w:t>
                      </w:r>
                      <w:r>
                        <w:rPr>
                          <w:rFonts w:hint="eastAsia"/>
                          <w:sz w:val="24"/>
                          <w:szCs w:val="24"/>
                        </w:rPr>
                        <w:t>缸下</w:t>
                      </w:r>
                      <w:r>
                        <w:rPr>
                          <w:sz w:val="24"/>
                          <w:szCs w:val="24"/>
                        </w:rPr>
                        <w:t>端</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1492250</wp:posOffset>
                </wp:positionV>
                <wp:extent cx="922655" cy="594995"/>
                <wp:effectExtent l="688340" t="9525" r="27305" b="24130"/>
                <wp:wrapNone/>
                <wp:docPr id="32" name="矩形标注 32"/>
                <wp:cNvGraphicFramePr/>
                <a:graphic xmlns:a="http://schemas.openxmlformats.org/drawingml/2006/main">
                  <a:graphicData uri="http://schemas.microsoft.com/office/word/2010/wordprocessingShape">
                    <wps:wsp>
                      <wps:cNvSpPr>
                        <a:spLocks noChangeArrowheads="true"/>
                      </wps:cNvSpPr>
                      <wps:spPr bwMode="auto">
                        <a:xfrm>
                          <a:off x="5486400" y="2406770"/>
                          <a:ext cx="922655" cy="594995"/>
                        </a:xfrm>
                        <a:prstGeom prst="wedgeRectCallout">
                          <a:avLst>
                            <a:gd name="adj1" fmla="val -116510"/>
                            <a:gd name="adj2" fmla="val 43570"/>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接</w:t>
                            </w:r>
                            <w:r>
                              <w:rPr>
                                <w:sz w:val="24"/>
                                <w:szCs w:val="24"/>
                              </w:rPr>
                              <w:t>液压</w:t>
                            </w:r>
                            <w:r>
                              <w:rPr>
                                <w:rFonts w:hint="eastAsia"/>
                                <w:sz w:val="24"/>
                                <w:szCs w:val="24"/>
                              </w:rPr>
                              <w:t>站油</w:t>
                            </w:r>
                            <w:r>
                              <w:rPr>
                                <w:sz w:val="24"/>
                                <w:szCs w:val="24"/>
                              </w:rPr>
                              <w:t>管</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top:117.5pt;height:46.85pt;width:72.65pt;mso-position-horizontal:right;mso-position-horizontal-relative:margin;z-index:251669504;mso-width-relative:page;mso-height-relative:page;" filled="f" stroked="t" coordsize="21600,21600" o:gfxdata="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WAAAAZHJzL1BLAQIUABQAAAAIAIdO4kCKDXtz1gAAAAgBAAAPAAAAAAAAAAEAIAAAADgAAABk&#10;cnMvZG93bnJldi54bWxQSwECFAAUAAAACACHTuJAWAQFCGQCAACABAAADgAAAAAAAAABACAAAAA7&#10;AQAAZHJzL2Uyb0RvYy54bWxQSwUGAAAAAAYABgBZAQAAEQYAAAAA&#10;" adj="0,20211">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接</w:t>
                      </w:r>
                      <w:r>
                        <w:rPr>
                          <w:sz w:val="24"/>
                          <w:szCs w:val="24"/>
                        </w:rPr>
                        <w:t>液压</w:t>
                      </w:r>
                      <w:r>
                        <w:rPr>
                          <w:rFonts w:hint="eastAsia"/>
                          <w:sz w:val="24"/>
                          <w:szCs w:val="24"/>
                        </w:rPr>
                        <w:t>站油</w:t>
                      </w:r>
                      <w:r>
                        <w:rPr>
                          <w:sz w:val="24"/>
                          <w:szCs w:val="24"/>
                        </w:rPr>
                        <w:t>管</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68480" behindDoc="0" locked="0" layoutInCell="1" allowOverlap="1">
                <wp:simplePos x="0" y="0"/>
                <wp:positionH relativeFrom="margin">
                  <wp:posOffset>4334510</wp:posOffset>
                </wp:positionH>
                <wp:positionV relativeFrom="paragraph">
                  <wp:posOffset>1035050</wp:posOffset>
                </wp:positionV>
                <wp:extent cx="853440" cy="379095"/>
                <wp:effectExtent l="585470" t="9525" r="27940" b="11430"/>
                <wp:wrapNone/>
                <wp:docPr id="33" name="矩形标注 33"/>
                <wp:cNvGraphicFramePr/>
                <a:graphic xmlns:a="http://schemas.openxmlformats.org/drawingml/2006/main">
                  <a:graphicData uri="http://schemas.microsoft.com/office/word/2010/wordprocessingShape">
                    <wps:wsp>
                      <wps:cNvSpPr>
                        <a:spLocks noChangeArrowheads="true"/>
                      </wps:cNvSpPr>
                      <wps:spPr bwMode="auto">
                        <a:xfrm>
                          <a:off x="0" y="0"/>
                          <a:ext cx="853440" cy="379095"/>
                        </a:xfrm>
                        <a:prstGeom prst="wedgeRectCallout">
                          <a:avLst>
                            <a:gd name="adj1" fmla="val -109641"/>
                            <a:gd name="adj2" fmla="val 14046"/>
                          </a:avLst>
                        </a:prstGeom>
                        <a:noFill/>
                        <a:ln w="19050">
                          <a:solidFill>
                            <a:srgbClr val="FF0000"/>
                          </a:solidFill>
                          <a:miter lim="800000"/>
                        </a:ln>
                      </wps:spPr>
                      <wps:txbx>
                        <w:txbxContent>
                          <w:p>
                            <w:pPr>
                              <w:spacing w:line="400" w:lineRule="exact"/>
                              <w:jc w:val="center"/>
                              <w:rPr>
                                <w:b/>
                                <w:color w:val="FF0000"/>
                                <w:sz w:val="24"/>
                                <w:szCs w:val="24"/>
                              </w:rPr>
                            </w:pPr>
                            <w:r>
                              <w:rPr>
                                <w:sz w:val="24"/>
                                <w:szCs w:val="24"/>
                              </w:rPr>
                              <w:t>油</w:t>
                            </w:r>
                            <w:r>
                              <w:rPr>
                                <w:rFonts w:hint="eastAsia"/>
                                <w:sz w:val="24"/>
                                <w:szCs w:val="24"/>
                              </w:rPr>
                              <w:t>管</w:t>
                            </w:r>
                            <w:r>
                              <w:rPr>
                                <w:sz w:val="24"/>
                                <w:szCs w:val="24"/>
                              </w:rPr>
                              <w:t>接头</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41.3pt;margin-top:81.5pt;height:29.85pt;width:67.2pt;mso-position-horizontal-relative:margin;z-index:251668480;mso-width-relative:page;mso-height-relative:page;" filled="f" stroked="t" coordsize="21600,21600" o:gfxdata="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FgAAAGRycy9QSwEC&#10;FAAUAAAACACHTuJANJ6/2tgAAAALAQAADwAAAAAAAAABACAAAAA4AAAAZHJzL2Rvd25yZXYueG1s&#10;UEsBAhQAFAAAAAgAh07iQM3ZvFhUAgAAdAQAAA4AAAAAAAAAAQAgAAAAPQEAAGRycy9lMm9Eb2Mu&#10;eG1sUEsFBgAAAAAGAAYAWQEAAAMGAAAAAA==&#10;" adj="0,13834">
                <v:fill on="f" focussize="0,0"/>
                <v:stroke weight="1.5pt" color="#FF0000" miterlimit="8" joinstyle="miter"/>
                <v:imagedata o:title=""/>
                <o:lock v:ext="edit" aspectratio="f"/>
                <v:textbox>
                  <w:txbxContent>
                    <w:p>
                      <w:pPr>
                        <w:spacing w:line="400" w:lineRule="exact"/>
                        <w:jc w:val="center"/>
                        <w:rPr>
                          <w:b/>
                          <w:color w:val="FF0000"/>
                          <w:sz w:val="24"/>
                          <w:szCs w:val="24"/>
                        </w:rPr>
                      </w:pPr>
                      <w:r>
                        <w:rPr>
                          <w:sz w:val="24"/>
                          <w:szCs w:val="24"/>
                        </w:rPr>
                        <w:t>油</w:t>
                      </w:r>
                      <w:r>
                        <w:rPr>
                          <w:rFonts w:hint="eastAsia"/>
                          <w:sz w:val="24"/>
                          <w:szCs w:val="24"/>
                        </w:rPr>
                        <w:t>管</w:t>
                      </w:r>
                      <w:r>
                        <w:rPr>
                          <w:sz w:val="24"/>
                          <w:szCs w:val="24"/>
                        </w:rPr>
                        <w:t>接头</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66432" behindDoc="0" locked="0" layoutInCell="1" allowOverlap="1">
                <wp:simplePos x="0" y="0"/>
                <wp:positionH relativeFrom="margin">
                  <wp:posOffset>4331970</wp:posOffset>
                </wp:positionH>
                <wp:positionV relativeFrom="paragraph">
                  <wp:posOffset>577850</wp:posOffset>
                </wp:positionV>
                <wp:extent cx="819150" cy="379095"/>
                <wp:effectExtent l="1204595" t="9525" r="14605" b="201930"/>
                <wp:wrapNone/>
                <wp:docPr id="34" name="矩形标注 34"/>
                <wp:cNvGraphicFramePr/>
                <a:graphic xmlns:a="http://schemas.openxmlformats.org/drawingml/2006/main">
                  <a:graphicData uri="http://schemas.microsoft.com/office/word/2010/wordprocessingShape">
                    <wps:wsp>
                      <wps:cNvSpPr>
                        <a:spLocks noChangeArrowheads="true"/>
                      </wps:cNvSpPr>
                      <wps:spPr bwMode="auto">
                        <a:xfrm>
                          <a:off x="0" y="0"/>
                          <a:ext cx="819150" cy="379095"/>
                        </a:xfrm>
                        <a:prstGeom prst="wedgeRectCallout">
                          <a:avLst>
                            <a:gd name="adj1" fmla="val -187810"/>
                            <a:gd name="adj2" fmla="val 93690"/>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液</w:t>
                            </w:r>
                            <w:r>
                              <w:rPr>
                                <w:sz w:val="24"/>
                                <w:szCs w:val="24"/>
                              </w:rPr>
                              <w:t>压缸</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41.1pt;margin-top:45.5pt;height:29.85pt;width:64.5pt;mso-position-horizontal-relative:margin;z-index:251666432;mso-width-relative:page;mso-height-relative:page;" filled="f" stroked="t" coordsize="21600,21600" o:gfxdata="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WAAAAZHJzL1BLAQIU&#10;ABQAAAAIAIdO4kC+R3RZ1gAAAAoBAAAPAAAAAAAAAAEAIAAAADgAAABkcnMvZG93bnJldi54bWxQ&#10;SwECFAAUAAAACACHTuJARq4eHVUCAAB0BAAADgAAAAAAAAABACAAAAA7AQAAZHJzL2Uyb0RvYy54&#10;bWxQSwUGAAAAAAYABgBZAQAAAgYAAAAA&#10;" adj="0,31037">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液</w:t>
                      </w:r>
                      <w:r>
                        <w:rPr>
                          <w:sz w:val="24"/>
                          <w:szCs w:val="24"/>
                        </w:rPr>
                        <w:t>压缸</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67456" behindDoc="0" locked="0" layoutInCell="1" allowOverlap="1">
                <wp:simplePos x="0" y="0"/>
                <wp:positionH relativeFrom="margin">
                  <wp:posOffset>4351655</wp:posOffset>
                </wp:positionH>
                <wp:positionV relativeFrom="paragraph">
                  <wp:posOffset>111760</wp:posOffset>
                </wp:positionV>
                <wp:extent cx="819150" cy="379095"/>
                <wp:effectExtent l="911860" t="9525" r="21590" b="11430"/>
                <wp:wrapNone/>
                <wp:docPr id="35" name="矩形标注 35"/>
                <wp:cNvGraphicFramePr/>
                <a:graphic xmlns:a="http://schemas.openxmlformats.org/drawingml/2006/main">
                  <a:graphicData uri="http://schemas.microsoft.com/office/word/2010/wordprocessingShape">
                    <wps:wsp>
                      <wps:cNvSpPr>
                        <a:spLocks noChangeArrowheads="true"/>
                      </wps:cNvSpPr>
                      <wps:spPr bwMode="auto">
                        <a:xfrm>
                          <a:off x="0" y="0"/>
                          <a:ext cx="819150" cy="379095"/>
                        </a:xfrm>
                        <a:prstGeom prst="wedgeRectCallout">
                          <a:avLst>
                            <a:gd name="adj1" fmla="val -152005"/>
                            <a:gd name="adj2" fmla="val 36802"/>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移</w:t>
                            </w:r>
                            <w:r>
                              <w:rPr>
                                <w:sz w:val="24"/>
                                <w:szCs w:val="24"/>
                              </w:rPr>
                              <w:t>动梁</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42.65pt;margin-top:8.8pt;height:29.85pt;width:64.5pt;mso-position-horizontal-relative:margin;z-index:251667456;mso-width-relative:page;mso-height-relative:page;" filled="f" stroked="t" coordsize="21600,21600" o:gfxdata="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PVoWgNgAAAAJAQAADwAAAAAAAAABACAAAAA4AAAAZHJzL2Rvd25yZXYu&#10;eG1sUEsBAhQAFAAAAAgAh07iQDnVjnFXAgAAdAQAAA4AAAAAAAAAAQAgAAAAPQEAAGRycy9lMm9E&#10;b2MueG1sUEsFBgAAAAAGAAYAWQEAAAYGAAAAAA==&#10;" adj="0,18749">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移</w:t>
                      </w:r>
                      <w:r>
                        <w:rPr>
                          <w:sz w:val="24"/>
                          <w:szCs w:val="24"/>
                        </w:rPr>
                        <w:t>动梁</w:t>
                      </w:r>
                    </w:p>
                  </w:txbxContent>
                </v:textbox>
              </v:shape>
            </w:pict>
          </mc:Fallback>
        </mc:AlternateContent>
      </w:r>
      <w:r>
        <w:rPr>
          <w:rFonts w:hint="eastAsia" w:ascii="仿宋" w:hAnsi="仿宋" w:eastAsia="仿宋" w:cs="仿宋"/>
          <w:sz w:val="32"/>
          <w:szCs w:val="32"/>
        </w:rPr>
        <w:drawing>
          <wp:inline distT="0" distB="0" distL="0" distR="0">
            <wp:extent cx="3302000" cy="2476500"/>
            <wp:effectExtent l="0" t="0" r="12700" b="0"/>
            <wp:docPr id="36" name="图片 36" descr="G:\DXL1\专家评审\事故调查及直接原因技术分析报告\衡阳钢管厂20241101\现场图片\液压油缸.jpg"/>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6" name="图片 36" descr="G:\DXL1\专家评审\事故调查及直接原因技术分析报告\衡阳钢管厂20241101\现场图片\液压油缸.jpg"/>
                    <pic:cNvPicPr>
                      <a:picLocks noChangeAspect="true" noChangeArrowheads="true"/>
                    </pic:cNvPicPr>
                  </pic:nvPicPr>
                  <pic:blipFill>
                    <a:blip r:embed="rId10" cstate="print">
                      <a:extLst>
                        <a:ext uri="{28A0092B-C50C-407E-A947-70E740481C1C}">
                          <a14:useLocalDpi xmlns:a14="http://schemas.microsoft.com/office/drawing/2010/main" val="false"/>
                        </a:ext>
                      </a:extLst>
                    </a:blip>
                    <a:srcRect/>
                    <a:stretch>
                      <a:fillRect/>
                    </a:stretch>
                  </pic:blipFill>
                  <pic:spPr>
                    <a:xfrm>
                      <a:off x="0" y="0"/>
                      <a:ext cx="3315950" cy="248706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图5  液压举升油缸位置照片</w:t>
      </w:r>
    </w:p>
    <w:p>
      <w:pPr>
        <w:jc w:val="center"/>
        <w:rPr>
          <w:rFonts w:hint="eastAsia" w:ascii="仿宋" w:hAnsi="仿宋" w:eastAsia="仿宋" w:cs="仿宋"/>
          <w:sz w:val="32"/>
          <w:szCs w:val="32"/>
        </w:rPr>
      </w:pPr>
    </w:p>
    <w:p>
      <w:pPr>
        <w:jc w:val="center"/>
        <w:rPr>
          <w:rFonts w:hint="eastAsia" w:ascii="仿宋" w:hAnsi="仿宋" w:eastAsia="仿宋" w:cs="仿宋"/>
          <w:sz w:val="32"/>
          <w:szCs w:val="32"/>
        </w:rPr>
      </w:pPr>
      <w:r>
        <w:rPr>
          <w:rFonts w:hint="eastAsia" w:ascii="仿宋" w:hAnsi="仿宋" w:eastAsia="仿宋" w:cs="仿宋"/>
          <w:sz w:val="32"/>
          <w:szCs w:val="32"/>
        </w:rPr>
        <mc:AlternateContent>
          <mc:Choice Requires="wps">
            <w:drawing>
              <wp:anchor distT="0" distB="0" distL="114300" distR="114300" simplePos="0" relativeHeight="251672576" behindDoc="0" locked="0" layoutInCell="1" allowOverlap="1">
                <wp:simplePos x="0" y="0"/>
                <wp:positionH relativeFrom="margin">
                  <wp:posOffset>4185285</wp:posOffset>
                </wp:positionH>
                <wp:positionV relativeFrom="paragraph">
                  <wp:posOffset>1793240</wp:posOffset>
                </wp:positionV>
                <wp:extent cx="1163955" cy="379095"/>
                <wp:effectExtent l="99060" t="805815" r="13335" b="15240"/>
                <wp:wrapNone/>
                <wp:docPr id="42" name="矩形标注 42"/>
                <wp:cNvGraphicFramePr/>
                <a:graphic xmlns:a="http://schemas.openxmlformats.org/drawingml/2006/main">
                  <a:graphicData uri="http://schemas.microsoft.com/office/word/2010/wordprocessingShape">
                    <wps:wsp>
                      <wps:cNvSpPr>
                        <a:spLocks noChangeArrowheads="true"/>
                      </wps:cNvSpPr>
                      <wps:spPr bwMode="auto">
                        <a:xfrm>
                          <a:off x="5236234" y="2769079"/>
                          <a:ext cx="1163955" cy="379095"/>
                        </a:xfrm>
                        <a:prstGeom prst="wedgeRectCallout">
                          <a:avLst>
                            <a:gd name="adj1" fmla="val -55957"/>
                            <a:gd name="adj2" fmla="val -247640"/>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与</w:t>
                            </w:r>
                            <w:r>
                              <w:rPr>
                                <w:sz w:val="24"/>
                                <w:szCs w:val="24"/>
                              </w:rPr>
                              <w:t>基础连接端</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329.55pt;margin-top:141.2pt;height:29.85pt;width:91.65pt;mso-position-horizontal-relative:margin;z-index:251672576;mso-width-relative:page;mso-height-relative:page;" filled="f" stroked="t" coordsize="21600,21600" o:gfxdata="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FgAAAGRycy9QSwECFAAUAAAACACHTuJAp7oacdwAAAALAQAADwAAAAAAAAAB&#10;ACAAAAA4AAAAZHJzL2Rvd25yZXYueG1sUEsBAhQAFAAAAAgAh07iQDP6F4JoAgAAggQAAA4AAAAA&#10;AAAAAQAgAAAAQQEAAGRycy9lMm9Eb2MueG1sUEsFBgAAAAAGAAYAWQEAABsGAAAAAA==&#10;" adj="0,0">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与</w:t>
                      </w:r>
                      <w:r>
                        <w:rPr>
                          <w:sz w:val="24"/>
                          <w:szCs w:val="24"/>
                        </w:rPr>
                        <w:t>基础连接端</w:t>
                      </w:r>
                    </w:p>
                  </w:txbxContent>
                </v:textbox>
              </v:shape>
            </w:pict>
          </mc:Fallback>
        </mc:AlternateContent>
      </w:r>
      <w:r>
        <w:rPr>
          <w:rFonts w:hint="eastAsia" w:ascii="仿宋" w:hAnsi="仿宋" w:eastAsia="仿宋" w:cs="仿宋"/>
          <w:sz w:val="32"/>
          <w:szCs w:val="32"/>
        </w:rPr>
        <mc:AlternateContent>
          <mc:Choice Requires="wps">
            <w:drawing>
              <wp:anchor distT="0" distB="0" distL="114300" distR="114300" simplePos="0" relativeHeight="251673600" behindDoc="0" locked="0" layoutInCell="1" allowOverlap="1">
                <wp:simplePos x="0" y="0"/>
                <wp:positionH relativeFrom="margin">
                  <wp:posOffset>78105</wp:posOffset>
                </wp:positionH>
                <wp:positionV relativeFrom="paragraph">
                  <wp:posOffset>1819275</wp:posOffset>
                </wp:positionV>
                <wp:extent cx="1275715" cy="379095"/>
                <wp:effectExtent l="9525" t="879475" r="10160" b="17780"/>
                <wp:wrapNone/>
                <wp:docPr id="41" name="矩形标注 41"/>
                <wp:cNvGraphicFramePr/>
                <a:graphic xmlns:a="http://schemas.openxmlformats.org/drawingml/2006/main">
                  <a:graphicData uri="http://schemas.microsoft.com/office/word/2010/wordprocessingShape">
                    <wps:wsp>
                      <wps:cNvSpPr>
                        <a:spLocks noChangeArrowheads="true"/>
                      </wps:cNvSpPr>
                      <wps:spPr bwMode="auto">
                        <a:xfrm>
                          <a:off x="0" y="0"/>
                          <a:ext cx="1275715" cy="379095"/>
                        </a:xfrm>
                        <a:prstGeom prst="wedgeRectCallout">
                          <a:avLst>
                            <a:gd name="adj1" fmla="val 352"/>
                            <a:gd name="adj2" fmla="val -268120"/>
                          </a:avLst>
                        </a:prstGeom>
                        <a:noFill/>
                        <a:ln w="19050">
                          <a:solidFill>
                            <a:srgbClr val="FF0000"/>
                          </a:solidFill>
                          <a:miter lim="800000"/>
                        </a:ln>
                      </wps:spPr>
                      <wps:txbx>
                        <w:txbxContent>
                          <w:p>
                            <w:pPr>
                              <w:spacing w:line="400" w:lineRule="exact"/>
                              <w:jc w:val="center"/>
                              <w:rPr>
                                <w:b/>
                                <w:color w:val="FF0000"/>
                                <w:sz w:val="24"/>
                                <w:szCs w:val="24"/>
                              </w:rPr>
                            </w:pPr>
                            <w:r>
                              <w:rPr>
                                <w:rFonts w:hint="eastAsia"/>
                                <w:sz w:val="24"/>
                                <w:szCs w:val="24"/>
                              </w:rPr>
                              <w:t>与移</w:t>
                            </w:r>
                            <w:r>
                              <w:rPr>
                                <w:sz w:val="24"/>
                                <w:szCs w:val="24"/>
                              </w:rPr>
                              <w:t>动梁连接端</w:t>
                            </w:r>
                          </w:p>
                        </w:txbxContent>
                      </wps:txbx>
                      <wps:bodyPr rot="0" vert="horz" wrap="square" lIns="91440" tIns="45720" rIns="91440" bIns="45720" anchor="t" anchorCtr="false" upright="true">
                        <a:noAutofit/>
                      </wps:bodyPr>
                    </wps:wsp>
                  </a:graphicData>
                </a:graphic>
              </wp:anchor>
            </w:drawing>
          </mc:Choice>
          <mc:Fallback>
            <w:pict>
              <v:shape id="_x0000_s1026" o:spid="_x0000_s1026" o:spt="61" type="#_x0000_t61" style="position:absolute;left:0pt;margin-left:6.15pt;margin-top:143.25pt;height:29.85pt;width:100.45pt;mso-position-horizontal-relative:margin;z-index:251673600;mso-width-relative:page;mso-height-relative:page;" filled="f" stroked="t" coordsize="21600,21600" o:gfxdata="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FgAAAGRycy9Q&#10;SwECFAAUAAAACACHTuJA1GoB6NkAAAAKAQAADwAAAAAAAAABACAAAAA4AAAAZHJzL2Rvd25yZXYu&#10;eG1sUEsBAhQAFAAAAAgAh07iQIZwruxWAgAAcwQAAA4AAAAAAAAAAQAgAAAAPgEAAGRycy9lMm9E&#10;b2MueG1sUEsFBgAAAAAGAAYAWQEAAAYGAAAAAA==&#10;" adj="10876,0">
                <v:fill on="f" focussize="0,0"/>
                <v:stroke weight="1.5pt" color="#FF0000" miterlimit="8" joinstyle="miter"/>
                <v:imagedata o:title=""/>
                <o:lock v:ext="edit" aspectratio="f"/>
                <v:textbox>
                  <w:txbxContent>
                    <w:p>
                      <w:pPr>
                        <w:spacing w:line="400" w:lineRule="exact"/>
                        <w:jc w:val="center"/>
                        <w:rPr>
                          <w:b/>
                          <w:color w:val="FF0000"/>
                          <w:sz w:val="24"/>
                          <w:szCs w:val="24"/>
                        </w:rPr>
                      </w:pPr>
                      <w:r>
                        <w:rPr>
                          <w:rFonts w:hint="eastAsia"/>
                          <w:sz w:val="24"/>
                          <w:szCs w:val="24"/>
                        </w:rPr>
                        <w:t>与移</w:t>
                      </w:r>
                      <w:r>
                        <w:rPr>
                          <w:sz w:val="24"/>
                          <w:szCs w:val="24"/>
                        </w:rPr>
                        <w:t>动梁连接端</w:t>
                      </w:r>
                    </w:p>
                  </w:txbxContent>
                </v:textbox>
              </v:shape>
            </w:pict>
          </mc:Fallback>
        </mc:AlternateContent>
      </w:r>
      <w:r>
        <w:rPr>
          <w:rFonts w:hint="eastAsia" w:ascii="仿宋" w:hAnsi="仿宋" w:eastAsia="仿宋" w:cs="仿宋"/>
          <w:sz w:val="32"/>
          <w:szCs w:val="32"/>
        </w:rPr>
        <w:drawing>
          <wp:inline distT="0" distB="0" distL="0" distR="0">
            <wp:extent cx="4467225" cy="1962150"/>
            <wp:effectExtent l="0" t="0" r="9525" b="0"/>
            <wp:docPr id="43" name="图片 4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true"/>
                    </pic:cNvPicPr>
                  </pic:nvPicPr>
                  <pic:blipFill>
                    <a:blip r:embed="rId11"/>
                    <a:stretch>
                      <a:fillRect/>
                    </a:stretch>
                  </pic:blipFill>
                  <pic:spPr>
                    <a:xfrm>
                      <a:off x="0" y="0"/>
                      <a:ext cx="4467225" cy="1962150"/>
                    </a:xfrm>
                    <a:prstGeom prst="rect">
                      <a:avLst/>
                    </a:prstGeom>
                  </pic:spPr>
                </pic:pic>
              </a:graphicData>
            </a:graphic>
          </wp:inline>
        </w:drawing>
      </w:r>
    </w:p>
    <w:p>
      <w:pPr>
        <w:jc w:val="center"/>
        <w:rPr>
          <w:rFonts w:hint="eastAsia" w:ascii="仿宋" w:hAnsi="仿宋" w:eastAsia="仿宋" w:cs="仿宋"/>
          <w:sz w:val="32"/>
          <w:szCs w:val="32"/>
        </w:rPr>
      </w:pP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图6  液压举升油缸结构图</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（5）现场遗留物勘查情况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涉事基坑进出口设置了“未经许可严禁进入”安全告知牌（图7），拟更换的液压缸两根进出油管接头均已拆卸，现场油管接头裸露，未采取安全可靠的封堵措施（图8），现场可见脱离的油管接头及拆卸下的油管；淬火炉底部2个支撑钢滚轮与轮档之间存有压碎的木头，钢滚轮附近地面上遗留有碎裂的木头碎片（图9），属施工时采用木头支撑液压缸所致。衡钢工程公司《热处理淬火炉举升油缸更换施工方案》要求，在更换液压缸应采用钢性支撑，但现场未发现存有钢性支撑相关设施。</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事故现场液压缸上方销铀止动挡板已完全用气割枪割除，附近散乱放置有气割枪、铁锤、扳手、撬棍、钢丝绳、手拉葫芦等工具以及两具干粉灭火器，气割枪的氧气和乙炔管线由基坑北侧出入口引入。</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事故液压缸东面区域地面有较大面积液压油迹，油迹最远处距液压缸下方油管接头约8m。说明施工过程中支撑液压缸的木头被压碎后，缸体下沉，导致缸体活塞将内部液压油挤压而出，其液压油喷射距离有8m。</w:t>
      </w:r>
    </w:p>
    <w:p>
      <w:pPr>
        <w:pStyle w:val="12"/>
        <w:ind w:left="218" w:leftChars="104" w:firstLine="0" w:firstLineChars="0"/>
        <w:rPr>
          <w:rFonts w:hint="eastAsia" w:ascii="仿宋" w:hAnsi="仿宋" w:eastAsia="仿宋" w:cs="仿宋"/>
          <w:color w:val="FF0000"/>
          <w:sz w:val="32"/>
          <w:szCs w:val="32"/>
          <w:lang w:val="en-US" w:eastAsia="zh-CN"/>
        </w:rPr>
      </w:pPr>
      <w:r>
        <w:drawing>
          <wp:inline distT="0" distB="0" distL="114300" distR="114300">
            <wp:extent cx="2382520" cy="2232660"/>
            <wp:effectExtent l="0" t="0" r="17780" b="15240"/>
            <wp:docPr id="3" name="图片 2"/>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true"/>
                    </pic:cNvPicPr>
                  </pic:nvPicPr>
                  <pic:blipFill>
                    <a:blip r:embed="rId12"/>
                    <a:stretch>
                      <a:fillRect/>
                    </a:stretch>
                  </pic:blipFill>
                  <pic:spPr>
                    <a:xfrm>
                      <a:off x="0" y="0"/>
                      <a:ext cx="2382520" cy="223266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612390" cy="2229485"/>
            <wp:effectExtent l="0" t="0" r="16510" b="18415"/>
            <wp:docPr id="8"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true"/>
                    </pic:cNvPicPr>
                  </pic:nvPicPr>
                  <pic:blipFill>
                    <a:blip r:embed="rId13"/>
                    <a:stretch>
                      <a:fillRect/>
                    </a:stretch>
                  </pic:blipFill>
                  <pic:spPr>
                    <a:xfrm>
                      <a:off x="0" y="0"/>
                      <a:ext cx="2612390" cy="222948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400" w:lineRule="exact"/>
        <w:ind w:firstLine="720" w:firstLineChars="300"/>
        <w:jc w:val="both"/>
        <w:textAlignment w:val="auto"/>
        <w:rPr>
          <w:rFonts w:hint="eastAsia" w:ascii="仿宋" w:hAnsi="仿宋" w:eastAsia="仿宋" w:cs="仿宋"/>
          <w:color w:val="FF0000"/>
          <w:sz w:val="24"/>
          <w:szCs w:val="24"/>
          <w:lang w:val="en-US" w:eastAsia="zh-CN"/>
        </w:rPr>
      </w:pPr>
      <w:r>
        <w:rPr>
          <w:rFonts w:hint="eastAsia" w:ascii="仿宋" w:hAnsi="仿宋" w:eastAsia="仿宋" w:cs="仿宋"/>
          <w:sz w:val="24"/>
          <w:szCs w:val="24"/>
          <w:lang w:val="en-US" w:eastAsia="zh-CN"/>
        </w:rPr>
        <w:t>图7 基坑进出口安全告知牌          图8 拆卸的油管接头照片</w:t>
      </w:r>
    </w:p>
    <w:p>
      <w:pPr>
        <w:keepNext w:val="0"/>
        <w:keepLines w:val="0"/>
        <w:pageBreakBefore w:val="0"/>
        <w:widowControl w:val="0"/>
        <w:kinsoku/>
        <w:wordWrap/>
        <w:overflowPunct/>
        <w:topLinePunct w:val="0"/>
        <w:autoSpaceDE/>
        <w:autoSpaceDN/>
        <w:bidi w:val="0"/>
        <w:adjustRightInd/>
        <w:snapToGrid/>
        <w:spacing w:line="240" w:lineRule="auto"/>
        <w:ind w:left="-199" w:leftChars="-95" w:firstLine="0" w:firstLineChars="0"/>
        <w:jc w:val="center"/>
        <w:textAlignment w:val="auto"/>
        <w:rPr>
          <w:rFonts w:hint="eastAsia" w:ascii="仿宋" w:hAnsi="仿宋" w:eastAsia="仿宋" w:cs="仿宋"/>
          <w:color w:val="FF0000"/>
          <w:sz w:val="32"/>
          <w:szCs w:val="32"/>
          <w:lang w:val="en-US" w:eastAsia="zh-CN"/>
        </w:rPr>
      </w:pPr>
      <w:r>
        <w:drawing>
          <wp:inline distT="0" distB="0" distL="114300" distR="114300">
            <wp:extent cx="5216525" cy="2472690"/>
            <wp:effectExtent l="0" t="0" r="3175" b="3810"/>
            <wp:docPr id="4" name="图片 3"/>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true"/>
                    </pic:cNvPicPr>
                  </pic:nvPicPr>
                  <pic:blipFill>
                    <a:blip r:embed="rId14"/>
                    <a:stretch>
                      <a:fillRect/>
                    </a:stretch>
                  </pic:blipFill>
                  <pic:spPr>
                    <a:xfrm>
                      <a:off x="0" y="0"/>
                      <a:ext cx="5216525" cy="2472690"/>
                    </a:xfrm>
                    <a:prstGeom prst="rect">
                      <a:avLst/>
                    </a:prstGeom>
                    <a:noFill/>
                    <a:ln>
                      <a:noFill/>
                    </a:ln>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00" w:lineRule="exact"/>
        <w:jc w:val="center"/>
        <w:textAlignment w:val="auto"/>
        <w:rPr>
          <w:rFonts w:hint="default" w:ascii="仿宋" w:hAnsi="仿宋" w:eastAsia="仿宋" w:cs="仿宋"/>
          <w:sz w:val="24"/>
          <w:szCs w:val="24"/>
          <w:lang w:val="en-US" w:eastAsia="zh-CN"/>
        </w:rPr>
      </w:pPr>
      <w:r>
        <w:rPr>
          <w:rFonts w:hint="eastAsia" w:ascii="仿宋" w:hAnsi="仿宋" w:eastAsia="仿宋" w:cs="仿宋"/>
          <w:sz w:val="24"/>
          <w:szCs w:val="24"/>
          <w:lang w:val="en-US" w:eastAsia="zh-CN"/>
        </w:rPr>
        <w:t>图9 压碎的木头照片</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（6）施工人员站位勘查情况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经现场勘查，并结合调查问话发现，事发时谢**正在实施动火气割作业，其站位在涉事液压缸北侧；肖**站位紧靠涉事液压缸南侧，其背面正对着液压缸下方油管接头；陈*站于谢**北侧约1m处，3人均面向动火切割点。</w:t>
      </w:r>
    </w:p>
    <w:p>
      <w:pPr>
        <w:keepNext w:val="0"/>
        <w:keepLines w:val="0"/>
        <w:pageBreakBefore w:val="0"/>
        <w:widowControl/>
        <w:kinsoku/>
        <w:overflowPunct/>
        <w:topLinePunct w:val="0"/>
        <w:autoSpaceDE/>
        <w:autoSpaceDN/>
        <w:bidi w:val="0"/>
        <w:adjustRightInd/>
        <w:snapToGrid/>
        <w:spacing w:line="600" w:lineRule="exact"/>
        <w:ind w:firstLine="627"/>
        <w:jc w:val="left"/>
        <w:textAlignment w:val="auto"/>
        <w:rPr>
          <w:rFonts w:hint="eastAsia" w:eastAsia="黑体"/>
          <w:bCs/>
          <w:color w:val="000000"/>
          <w:kern w:val="0"/>
          <w:sz w:val="32"/>
          <w:szCs w:val="32"/>
          <w:lang w:val="en-US" w:eastAsia="zh-CN"/>
        </w:rPr>
      </w:pPr>
      <w:r>
        <w:rPr>
          <w:rFonts w:hint="eastAsia" w:eastAsia="黑体"/>
          <w:bCs/>
          <w:color w:val="000000"/>
          <w:kern w:val="0"/>
          <w:sz w:val="32"/>
          <w:szCs w:val="32"/>
          <w:lang w:val="en-US" w:eastAsia="zh-CN"/>
        </w:rPr>
        <w:t>二、检验鉴定情况</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（一）涉事液压缸工艺原理及其举升能力测定。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液压缸内安装有活塞和活塞杆，液压缸两端各有一个进出油管及接头，两接头分别连接来自液压站的液压油管。液压缸通过液压站提供动能，液压油将压力传递到缸内活塞上，推动活塞及活塞杆的运动完成缸体举升。当活塞杆伸出时，带动框架上升，框架下方16个钢滚轮在斜坡面（斜轨道）上升，垂直提升高度约230mm，上升到位后，平移油缸前进到位；液压缸接收到下降控制信号，液压缸活塞杆下降，带动框架下方16个钢滚轮在下降到位后，平移油缸后退到位，淬火炉步进梁一个周期完成。</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经技术测算，单个液压缸举升能力为50吨，两个液压缸的举升能力为100吨，炉体、移动梁等机械升降机构重量为80吨左右，液压缸的举升能力能够匹配承载的重量。</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（二）液压缸内最大液压油量的测算。</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斜坡面（斜轨道）上的移动梁钢轮处于最上部的行程位置，也即活塞杆举升时伸出液压缸的最大行程位置时油缸内存油量最大。经查在用液压油品技术参数，液压缸使用的是46#抗磨液压油，在25℃时，密度0.874 kg/L。液压缸缸径200mm，活塞杆直径140mm，活塞杆行程1106mm。</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缸内最大液压油量为（未去除活塞所占的部分容积）：</w:t>
      </w:r>
    </w:p>
    <w:p>
      <w:pPr>
        <w:keepNext w:val="0"/>
        <w:keepLines w:val="0"/>
        <w:pageBreakBefore w:val="0"/>
        <w:widowControl w:val="0"/>
        <w:kinsoku/>
        <w:wordWrap/>
        <w:overflowPunct/>
        <w:topLinePunct w:val="0"/>
        <w:autoSpaceDE/>
        <w:autoSpaceDN/>
        <w:bidi w:val="0"/>
        <w:adjustRightInd/>
        <w:snapToGrid/>
        <w:spacing w:line="576" w:lineRule="exact"/>
        <w:ind w:firstLine="1280" w:firstLineChars="400"/>
        <w:textAlignment w:val="auto"/>
        <w:rPr>
          <w:rFonts w:hint="eastAsia" w:ascii="仿宋" w:hAnsi="仿宋" w:eastAsia="仿宋" w:cs="仿宋"/>
          <w:sz w:val="32"/>
          <w:szCs w:val="32"/>
        </w:rPr>
      </w:pPr>
      <w:r>
        <w:rPr>
          <w:rFonts w:hint="eastAsia" w:ascii="仿宋" w:hAnsi="仿宋" w:eastAsia="仿宋" w:cs="仿宋"/>
          <w:sz w:val="32"/>
          <w:szCs w:val="32"/>
        </w:rPr>
        <w:t>3.14*（0.1）</w:t>
      </w:r>
      <w:r>
        <w:rPr>
          <w:rFonts w:hint="eastAsia" w:ascii="仿宋" w:hAnsi="仿宋" w:eastAsia="仿宋" w:cs="仿宋"/>
          <w:sz w:val="32"/>
          <w:szCs w:val="32"/>
          <w:vertAlign w:val="superscript"/>
        </w:rPr>
        <w:t>2</w:t>
      </w:r>
      <w:r>
        <w:rPr>
          <w:rFonts w:hint="eastAsia" w:ascii="仿宋" w:hAnsi="仿宋" w:eastAsia="仿宋" w:cs="仿宋"/>
          <w:sz w:val="32"/>
          <w:szCs w:val="32"/>
        </w:rPr>
        <w:t>*1.106*0.874*1000=30.35kg</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事故发生前，为了便于拆卸液压缸，除了将液压站泄压外，还将缸内活塞上升了一段距离，根据340厂提供的数据，钢轮此时的位置在斜坡面（斜轨道）的正中间，即液压缸内活塞的位置处于缸的正中间，由此可以推算出事故发生前液压缸活塞以下部分（与基础相连接的一端）的缸内油量约为缸内最大存油量的一半，也即事故发生时从油缸内喷出的液压油量为15 kg左右。</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（三）伤亡鉴定情况。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1.11月2日，南华大学附属第二医院出具的《居民死因医学证明（推断）书》（门诊号120****），对事故当事人肖**死亡情况作出以下医学诊断：</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（1）死亡时间：2024年11月1日16时7分；</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（2）直接死亡原因：烧伤后肌肉钙化。</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2.11月1日，南华大学附属第二医院出具的《入院记录》（病案号:6055****），对事故当事人谢**受伤情况作出以下医学诊断：左项部、上臂、大腿、臀部热油烫伤</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3.11月2日，南华大学附属第二医院出具的《入院记录》（病案号:病案号:6066****），对事故当事人陈*受伤情况作出以下医学诊断：</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（1）面部热油烫伤3%TBSA II°；</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（2）双下肢皮肤软组织擦伤。</w:t>
      </w:r>
    </w:p>
    <w:p>
      <w:pPr>
        <w:keepNext w:val="0"/>
        <w:keepLines w:val="0"/>
        <w:pageBreakBefore w:val="0"/>
        <w:widowControl/>
        <w:kinsoku/>
        <w:overflowPunct/>
        <w:topLinePunct w:val="0"/>
        <w:autoSpaceDE/>
        <w:autoSpaceDN/>
        <w:bidi w:val="0"/>
        <w:adjustRightInd/>
        <w:snapToGrid/>
        <w:spacing w:line="600" w:lineRule="exact"/>
        <w:ind w:firstLine="627"/>
        <w:jc w:val="left"/>
        <w:textAlignment w:val="auto"/>
        <w:rPr>
          <w:rFonts w:hint="eastAsia" w:eastAsia="黑体"/>
          <w:bCs/>
          <w:color w:val="000000"/>
          <w:kern w:val="0"/>
          <w:sz w:val="32"/>
          <w:szCs w:val="32"/>
          <w:lang w:val="en-US" w:eastAsia="zh-CN"/>
        </w:rPr>
      </w:pPr>
      <w:r>
        <w:rPr>
          <w:rFonts w:hint="eastAsia" w:eastAsia="黑体"/>
          <w:bCs/>
          <w:color w:val="000000"/>
          <w:kern w:val="0"/>
          <w:sz w:val="32"/>
          <w:szCs w:val="32"/>
          <w:lang w:val="en-US" w:eastAsia="zh-CN"/>
        </w:rPr>
        <w:t>三、项目工程安全管理</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（一）相关合同（协议）签订情况。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1.维修业务合同</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2024年1月，衡钢公司（甲方）与衡钢工程公司（乙方）签订了《设备维修业务承揽合同》（编号2023123****），有效期三年，合同业务范围：340厂范围内的机械、液压、能源介质设备安全运行所需要的值班、设备维护保养、状态恢复、故障排除及相应备件修复。合同对双方安全责任载有以下内容：</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（1）甲方对维修工程计划和工程实施协调，对乙方检修工作实施跟踪管理，监督检查验收。</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（2）乙方自备维修辅助材料 ，在检修过程中发现备品备件、原材料自身质量不合格，乙方应及时向甲方通报。</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（3）乙方应对员工进行常态化专业培训，并负责现场维修安全确认手续，指定现场安全监护人。</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2.安全协议</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2024年2月19日，衡钢公司（甲方）与衡钢工程公司（乙方）签订了《工程业务（含检维修）安全生产管理协议》（编号HGHN-GL-0002-R****），有效期至履行业务合同及本协议全部义务，工程地点与范围：甲方各分厂。协议对双方安全责任载有以下内容：</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（1）甲方应对进入本单位作业的乙方人员开展安全教育，考核合格后方准进入作业，乙方负责提供相关人员的信息资料；乙方应依法对本单位员工进行安全教育培训。</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（2）乙方应保持项目关键岗位人员的连续稳定，项目关键岗位人员发生变更的，应征得甲方书面同意。</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（3）乙方需使用甲方设备设施、工器具、能源介质、材料的，应经甲方书面授权或经双方书面约定，乙方经检查合格后方可接收使用。</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（二）涉事项目工程概况。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因涉事液压举升油缸出现渗油现象，需要更换，340厂热处理车间点检员刘**于10月29日上午制定了该更换计划，将其列入热处理车间11月1日的检修项目计划表中，并明确该更换项目的施工方负责人为衡钢工程公司维修主管唐**，340厂的负责人为热处理车间机械点检员刘**。</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10月29日下午，340厂设备科科长李**主持召开了检修协调会，340厂热处理车间副主任王**、机械点检员刘**、液压点检员宁**及衡钢工程公司维修工段副段长李**、维修主管唐**参加了会议，确定了该液压缸检修更换项目。之后，王**将更换施工作业任务通知下达给了李**和唐**。</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经查，《340厂热处理车间2024年11月1日检修项目计划表》在“施工机具”、“备件资材”的确认中，未将应当列入的刚性支撑材料列入计划。</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（三）施工方案编制。</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10月30日，衡钢工程公司编制了《热处理淬火炉举升油缸更换施工方案》，编制人为维修主管唐**，审核人为衡钢公司340厂设备副厂长吴**和衡钢工程公司维修工段段长沈**。</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经查，衡钢工程公司编制的施工方案中，规定了在用液压缸检修更换作业中“用刚性支撑物固定保护，防止机构下沉”，但未明确刚性支撑物具体类别，未规定刚性支撑物的安全承压要求，未明确配备刚性支撑物的具体责任人；该施工方案在设定作业步骤中，有“泄压闸阀”和“拆除油管之后油口及时封闭”的要求，但对液压缸的泄压未明确具体的操作步骤和泄压应达到的安全标准，未明确油口封闭的具体措施、方法和所需材料类别；未详细明确动火时的安全警戒距离和作业人员安全站位要求；施工方案未经技术负责人审核。</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（四）安全作业审批。</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11月1日，衡钢公司对涉事工程下达了《动火许可证》（编号：HGAQ-GL-0015****）和《有限空间作业审批表》（编号：HGAQGL-0011-R****），两项作业的安全监护人均为唐**、刘**，其中载明动火执行人为刘**、肖**；有限空间作业人员为刘**、肖**、陈*、谢**。</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经查，以上二项安全作业均未经衡钢公司安全环保部门审核，未经相关技术负责人审核，其中《动火许可证》仅由340厂安全员王**代表本单位审批同意；安全作业审批中确定的刘**实际未参与涉事项目施工作业，动火切割操作人员临时由谢**替代刘**。</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（五）安全交底。</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11月1日中午，衡钢工程公司对拟实施的四项工程项目（含涉事项目）共约12名施工人员组织进行了安全技术交底、分配工作任务，组织人为衡钢工程公司维修工段段长沈**、维修主管唐**。安全交底只是采取会议形式口头交底，未制发详细的安全施工告知说明，并由施工人员签字确认</w:t>
      </w:r>
      <w:r>
        <w:rPr>
          <w:rFonts w:hint="eastAsia" w:ascii="仿宋" w:hAnsi="仿宋" w:eastAsia="仿宋" w:cs="宋体"/>
          <w:color w:val="auto"/>
          <w:spacing w:val="-6"/>
          <w:kern w:val="2"/>
          <w:sz w:val="24"/>
          <w:szCs w:val="24"/>
          <w:shd w:val="clear" w:color="auto" w:fill="FFFFFF"/>
          <w:vertAlign w:val="superscript"/>
          <w:lang w:val="en-US" w:eastAsia="zh-CN" w:bidi="ar-SA"/>
        </w:rPr>
        <w:t>[2]</w:t>
      </w:r>
      <w:r>
        <w:rPr>
          <w:rFonts w:hint="eastAsia" w:ascii="仿宋" w:hAnsi="仿宋" w:eastAsia="仿宋" w:cs="仿宋"/>
          <w:bCs/>
          <w:sz w:val="30"/>
          <w:szCs w:val="30"/>
          <w:lang w:val="en-US" w:eastAsia="zh-CN"/>
        </w:rPr>
        <w:t>，</w:t>
      </w:r>
      <w:r>
        <w:rPr>
          <w:rFonts w:hint="eastAsia" w:ascii="仿宋" w:hAnsi="仿宋" w:eastAsia="仿宋" w:cs="仿宋"/>
          <w:sz w:val="32"/>
          <w:lang w:val="en-US" w:eastAsia="zh-CN"/>
        </w:rPr>
        <w:t>也未实施分项目逐一进行安全技术交底。经调查，涉事项目二位幸存受伤人员均未见</w:t>
      </w:r>
    </w:p>
    <w:p>
      <w:pPr>
        <w:keepNext w:val="0"/>
        <w:keepLines w:val="0"/>
        <w:pageBreakBefore w:val="0"/>
        <w:widowControl/>
        <w:kinsoku/>
        <w:wordWrap/>
        <w:overflowPunct/>
        <w:topLinePunct w:val="0"/>
        <w:autoSpaceDE/>
        <w:autoSpaceDN/>
        <w:bidi w:val="0"/>
        <w:adjustRightInd/>
        <w:snapToGrid/>
        <w:spacing w:line="240" w:lineRule="exact"/>
        <w:jc w:val="left"/>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sz w:val="24"/>
          <w:shd w:val="clear" w:color="auto" w:fill="FFFFFF"/>
        </w:rPr>
        <w:t>-------------------</w:t>
      </w:r>
    </w:p>
    <w:p>
      <w:pPr>
        <w:keepNext w:val="0"/>
        <w:keepLines w:val="0"/>
        <w:pageBreakBefore w:val="0"/>
        <w:kinsoku/>
        <w:wordWrap/>
        <w:overflowPunct/>
        <w:topLinePunct w:val="0"/>
        <w:autoSpaceDE/>
        <w:autoSpaceDN/>
        <w:bidi w:val="0"/>
        <w:adjustRightInd/>
        <w:snapToGrid/>
        <w:spacing w:line="240" w:lineRule="exact"/>
        <w:ind w:firstLine="456" w:firstLineChars="200"/>
        <w:textAlignment w:val="auto"/>
        <w:rPr>
          <w:rFonts w:hint="eastAsia" w:ascii="仿宋" w:hAnsi="仿宋" w:eastAsia="仿宋" w:cs="宋体"/>
          <w:color w:val="auto"/>
          <w:spacing w:val="-6"/>
          <w:kern w:val="2"/>
          <w:sz w:val="24"/>
          <w:szCs w:val="24"/>
          <w:shd w:val="clear" w:color="auto" w:fill="FFFFFF"/>
          <w:lang w:val="en-US" w:eastAsia="zh-CN" w:bidi="ar-SA"/>
        </w:rPr>
      </w:pPr>
      <w:r>
        <w:rPr>
          <w:rFonts w:hint="eastAsia" w:ascii="仿宋" w:hAnsi="仿宋" w:eastAsia="仿宋" w:cs="宋体"/>
          <w:color w:val="auto"/>
          <w:spacing w:val="-6"/>
          <w:kern w:val="2"/>
          <w:sz w:val="24"/>
          <w:szCs w:val="24"/>
          <w:shd w:val="clear" w:color="auto" w:fill="FFFFFF"/>
          <w:lang w:val="en-US" w:eastAsia="zh-CN" w:bidi="ar-SA"/>
        </w:rPr>
        <w:t>[2]《建设工程安全生产管理条例》（393号令）第二十七条：建设工程施工前，施工单位负责项目管理的技术人员应当对有关安全施工的技术要求向施工作业班组、作业人员作出详细说明，并由双方签字确认。</w:t>
      </w:r>
    </w:p>
    <w:p>
      <w:pPr>
        <w:keepNext w:val="0"/>
        <w:keepLines w:val="0"/>
        <w:pageBreakBefore w:val="0"/>
        <w:widowControl/>
        <w:kinsoku/>
        <w:wordWrap/>
        <w:overflowPunct/>
        <w:topLinePunct w:val="0"/>
        <w:autoSpaceDE/>
        <w:autoSpaceDN/>
        <w:bidi w:val="0"/>
        <w:adjustRightInd/>
        <w:snapToGrid/>
        <w:spacing w:line="240" w:lineRule="exact"/>
        <w:ind w:firstLine="6612" w:firstLineChars="2900"/>
        <w:jc w:val="left"/>
        <w:textAlignment w:val="auto"/>
        <w:rPr>
          <w:rFonts w:ascii="仿宋" w:hAnsi="仿宋" w:eastAsia="仿宋" w:cs="宋体"/>
          <w:color w:val="auto"/>
          <w:spacing w:val="-6"/>
          <w:sz w:val="24"/>
          <w:shd w:val="clear" w:color="auto" w:fill="FFFFFF"/>
        </w:rPr>
      </w:pPr>
      <w:r>
        <w:rPr>
          <w:rFonts w:hint="eastAsia" w:ascii="仿宋" w:hAnsi="仿宋" w:eastAsia="仿宋" w:cs="宋体"/>
          <w:color w:val="auto"/>
          <w:spacing w:val="-6"/>
          <w:sz w:val="24"/>
          <w:shd w:val="clear" w:color="auto" w:fill="FFFFFF"/>
        </w:rPr>
        <w:t>-------------------</w:t>
      </w:r>
    </w:p>
    <w:p>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仿宋" w:hAnsi="仿宋" w:eastAsia="仿宋" w:cs="仿宋"/>
          <w:sz w:val="32"/>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到《动火许可证》。</w:t>
      </w:r>
    </w:p>
    <w:p>
      <w:pPr>
        <w:keepNext w:val="0"/>
        <w:keepLines w:val="0"/>
        <w:pageBreakBefore w:val="0"/>
        <w:widowControl/>
        <w:kinsoku/>
        <w:overflowPunct/>
        <w:topLinePunct w:val="0"/>
        <w:autoSpaceDE/>
        <w:autoSpaceDN/>
        <w:bidi w:val="0"/>
        <w:adjustRightInd/>
        <w:snapToGrid/>
        <w:spacing w:line="600" w:lineRule="exact"/>
        <w:ind w:firstLine="627"/>
        <w:jc w:val="left"/>
        <w:textAlignment w:val="auto"/>
        <w:rPr>
          <w:rFonts w:hint="eastAsia" w:eastAsia="黑体"/>
          <w:bCs/>
          <w:color w:val="000000"/>
          <w:kern w:val="0"/>
          <w:sz w:val="32"/>
          <w:szCs w:val="32"/>
          <w:lang w:val="en-US" w:eastAsia="zh-CN"/>
        </w:rPr>
      </w:pPr>
      <w:r>
        <w:rPr>
          <w:rFonts w:hint="eastAsia" w:eastAsia="黑体"/>
          <w:bCs/>
          <w:color w:val="000000"/>
          <w:kern w:val="0"/>
          <w:sz w:val="32"/>
          <w:szCs w:val="32"/>
          <w:lang w:val="en-US" w:eastAsia="zh-CN"/>
        </w:rPr>
        <w:t>四、</w:t>
      </w:r>
      <w:bookmarkStart w:id="7" w:name="_Toc935817827_WPSOffice_Level1"/>
      <w:r>
        <w:rPr>
          <w:rFonts w:hint="eastAsia" w:eastAsia="黑体"/>
          <w:bCs/>
          <w:color w:val="000000"/>
          <w:kern w:val="0"/>
          <w:sz w:val="32"/>
          <w:szCs w:val="32"/>
          <w:lang w:val="en-US" w:eastAsia="zh-CN"/>
        </w:rPr>
        <w:t>事故发生经过及应急处置情况</w:t>
      </w:r>
      <w:bookmarkEnd w:id="7"/>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bookmarkStart w:id="8" w:name="_Toc807863814_WPSOffice_Level2"/>
      <w:r>
        <w:rPr>
          <w:rFonts w:hint="eastAsia" w:ascii="楷体" w:hAnsi="楷体" w:eastAsia="楷体" w:cs="楷体"/>
          <w:color w:val="auto"/>
          <w:sz w:val="32"/>
          <w:szCs w:val="32"/>
          <w:lang w:val="en-US" w:eastAsia="zh-CN"/>
        </w:rPr>
        <w:t>（一）事故发生经过</w:t>
      </w:r>
      <w:bookmarkEnd w:id="8"/>
      <w:r>
        <w:rPr>
          <w:rFonts w:hint="eastAsia" w:ascii="楷体" w:hAnsi="楷体" w:eastAsia="楷体" w:cs="楷体"/>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2024年11月1日，衡钢工程公司承揽的340厂2#热淬火炉举升液压缸更换工作开始实施，当班作业人共3人，即肖**、陈*和谢**，其中肖**为班组长。当班衡钢工程公司、340厂热处理车间各安排了一名现场安全监护人员，分别为唐**和刘**。</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14时左右，三名作业人员到达基坑南入口，唐**在此向3名作业人员口头交代了相关安全注意事项、整个工作流程以及施工准备工作后，便在该处地面上实施监护，接着3名作业人员进入基坑实施作业。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14时10分左右，340厂热处理车间监护人刘**下到基坑作业现场，向肖**交待，更换作业前要将油缸升起一点，便于在钢滚轮与轮挡之间塞钢性支撑，要泄油压和关油阀。交待完后，刘**离开了现场，去到其他的作业地点检查工作。</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施工作业前，肖**在施工点附近放置了2具灭火器和一个接火盆，然后先按照施工方案的步骤，将需更换的液压缸升至高位举升淬火炉，接着取来用于码放钢管的木塞，将之塞</w:t>
      </w:r>
      <w:r>
        <w:rPr>
          <w:rFonts w:hint="eastAsia" w:ascii="仿宋" w:hAnsi="仿宋" w:eastAsia="仿宋" w:cs="仿宋"/>
          <w:sz w:val="32"/>
          <w:lang w:val="en" w:eastAsia="zh-CN"/>
        </w:rPr>
        <w:t>在</w:t>
      </w:r>
      <w:r>
        <w:rPr>
          <w:rFonts w:hint="eastAsia" w:ascii="仿宋" w:hAnsi="仿宋" w:eastAsia="仿宋" w:cs="仿宋"/>
          <w:sz w:val="32"/>
          <w:lang w:val="en-US" w:eastAsia="zh-CN"/>
        </w:rPr>
        <w:t>淬火炉底部的钢滚轮与轮挡之间，以防止钢滚轮下滑，随后进行了停电挂牌、泄油压、关油阀相关操作。</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约15点左右，肖**在安排陈*拆除了液压缸上两根油管后，要谢**操作气割枪将液压缸上方销轴止动挡板割除。当时谢**站于液压缸北侧，肖**站于液压缸南侧，陈*站于谢**北侧约1m处，3人均面向动火切割点。</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点05分左右，在谢**正实施割除止动挡板过程中，阻塞淬火炉钢滚轮的木塞受压突然破碎，钢滚轮下滑，接着淬火炉下沉，挤压液压缸活塞杆，液压缸中的液压油受活塞挤压，从液压缸下方油管接头快速喷出，在与气割产生的火花相遇后发生剧烈燃烧，并直接喷洒在当时站在油管口正对面的肖**身上，导致其全身着火，蔓延的火焰使谢**、陈*身上局部受伤。当时肖**立即往北侧方面逃生，但在走到北出入口楼梯旁时，仰面倒地；谢**、陈*也快速分别从基坑南、北出入口逃至地面。</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（二）应急处置情况。</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时7分左右，陈*和谢**分别逃至地面后，在入口处实施监护的唐**第一时间从南入口下至基坑进行救援，随后340厂热处理车间安全员王**带领车间员工提干粉灭火器进入基坑进行灭火。当时基坑内尚有两处明火，一是东边区域，该处火势较大；一是北出入口楼梯边，该处火势相对较小。在扑灭了明火恢复视线后，发现肖**躺在北出入口楼梯边，全身烧焦，身上只剩下一点内裤，双手上举，双腿弯曲，呼之不应。</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王**在火势扑灭后返回地面，分别打电话给340厂安全环保科安全科长黄*、340厂厂长刘**报告了事故情况，并于15时12分左右拨打了120急救电话。</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随后，340厂安全环保科安全科长黄*、340厂长刘**、衡钢公司安环部副部长王*、衡钢工程公司负责人叶*及衡钢工程公司维修工段段长沈**等先后赶至现场，组织和指挥救援工作。</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15点20分左右，先后两台救护车到达事故现场，第一时间将伤者肖**、陈*、谢**三人送至南华大学附属第二医院进行救治。约16时7分，因抢救无效，救治医生宣布肖**死亡。</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9" w:name="_Toc657868477_WPSOffice_Level2"/>
      <w:r>
        <w:rPr>
          <w:rFonts w:hint="eastAsia" w:ascii="楷体" w:hAnsi="楷体" w:eastAsia="楷体" w:cs="楷体"/>
          <w:color w:val="auto"/>
          <w:sz w:val="32"/>
          <w:szCs w:val="32"/>
          <w:lang w:val="en-US" w:eastAsia="zh-CN"/>
        </w:rPr>
        <w:t>（三）事故信息报告情况</w:t>
      </w:r>
      <w:bookmarkEnd w:id="9"/>
      <w:r>
        <w:rPr>
          <w:rFonts w:hint="eastAsia" w:ascii="楷体" w:hAnsi="楷体" w:eastAsia="楷体" w:cs="楷体"/>
          <w:color w:val="auto"/>
          <w:sz w:val="32"/>
          <w:szCs w:val="32"/>
          <w:lang w:val="en-US"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15时11分左右，衡钢工程公司维修工段副段长李**先后向其单位安全环保科科长汤**、主任工程师孟*、副经理（主管全面）叶*报告。</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15时19分，衡钢工程公司汤**向衡钢公司安全环保部安全科科长刘**报告，接着刘**报告安全环保部副部长王*。</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15时21分，王*报告衡钢副总经理朱**。</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15时43分，衡钢公司安全环保部安全科副科长李*报告衡阳市应急指挥中心。</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15时53分，衡钢工程公司汤**向蒸湘区应急管理局张*报告。</w:t>
      </w:r>
    </w:p>
    <w:bookmarkEnd w:id="3"/>
    <w:p>
      <w:pPr>
        <w:keepNext w:val="0"/>
        <w:keepLines w:val="0"/>
        <w:pageBreakBefore w:val="0"/>
        <w:widowControl/>
        <w:kinsoku/>
        <w:overflowPunct/>
        <w:topLinePunct w:val="0"/>
        <w:autoSpaceDE/>
        <w:autoSpaceDN/>
        <w:bidi w:val="0"/>
        <w:adjustRightInd/>
        <w:snapToGrid/>
        <w:spacing w:line="600" w:lineRule="exact"/>
        <w:ind w:firstLine="627"/>
        <w:jc w:val="left"/>
        <w:textAlignment w:val="auto"/>
        <w:rPr>
          <w:rFonts w:hint="eastAsia" w:eastAsia="黑体"/>
          <w:bCs/>
          <w:color w:val="000000"/>
          <w:kern w:val="0"/>
          <w:sz w:val="32"/>
          <w:szCs w:val="32"/>
          <w:lang w:val="en-US" w:eastAsia="zh-CN"/>
        </w:rPr>
      </w:pPr>
      <w:bookmarkStart w:id="10" w:name="_Toc1362546126_WPSOffice_Level1"/>
      <w:r>
        <w:rPr>
          <w:rFonts w:hint="eastAsia" w:eastAsia="黑体"/>
          <w:bCs/>
          <w:color w:val="000000"/>
          <w:kern w:val="0"/>
          <w:sz w:val="32"/>
          <w:szCs w:val="32"/>
          <w:lang w:val="en" w:eastAsia="zh-CN"/>
        </w:rPr>
        <w:t>五、事故原因及性质认定</w:t>
      </w:r>
      <w:bookmarkEnd w:id="10"/>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11" w:name="_Toc1368071643_WPSOffice_Level2"/>
      <w:r>
        <w:rPr>
          <w:rFonts w:hint="eastAsia" w:ascii="楷体" w:hAnsi="楷体" w:eastAsia="楷体" w:cs="楷体"/>
          <w:color w:val="auto"/>
          <w:sz w:val="32"/>
          <w:szCs w:val="32"/>
          <w:lang w:val="en-US" w:eastAsia="zh-CN"/>
        </w:rPr>
        <w:t>（一）直接原因。</w:t>
      </w:r>
      <w:bookmarkEnd w:id="11"/>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衡钢工程公司作业人员违章使用木塞支撑，拆除的油管接头未采取安全可靠的封堵措施，在木塞受压破碎后，淬火炉下沉挤压液压缸活塞杆，液压缸中的液压油从油管接头喷出，遇气割火花发生燃烧，造成现场作业人员1人死亡、2人受伤。</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12" w:name="_Toc299333111_WPSOffice_Level2"/>
      <w:r>
        <w:rPr>
          <w:rFonts w:hint="eastAsia" w:ascii="楷体" w:hAnsi="楷体" w:eastAsia="楷体" w:cs="楷体"/>
          <w:color w:val="auto"/>
          <w:sz w:val="32"/>
          <w:szCs w:val="32"/>
          <w:lang w:val="en-US" w:eastAsia="zh-CN"/>
        </w:rPr>
        <w:t>（二）间接原因。</w:t>
      </w:r>
      <w:bookmarkEnd w:id="12"/>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仿宋_GB2312" w:hAnsi="仿宋_GB2312" w:eastAsia="仿宋_GB2312" w:cs="仿宋_GB2312"/>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color w:val="000000" w:themeColor="text1"/>
          <w:sz w:val="32"/>
          <w:szCs w:val="32"/>
          <w:lang w:val="en-US" w:eastAsia="zh-CN"/>
          <w14:textFill>
            <w14:solidFill>
              <w14:schemeClr w14:val="tx1"/>
            </w14:solidFill>
          </w14:textFill>
        </w:rPr>
        <w:t>1.衡钢工程公司</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编制的项目施工方案不完善。施工方案未经技术负责人审核；未详细明确动火时的安全警戒距离和作业人员安全站位要求；未明确刚性支撑物的具体类别，未规定刚性支撑物的安全承压要求，也未明确配备刚性支撑物的具体责任人；对液压缸的泄压未明确具体的操作步骤和泄压应达到的安全标准，未明确油口封闭的具体措施、方法和所需材料类别。事发时拆卸的油管接头未采取安全封堵措施，导致液压油失控喷出伤人。</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2）未严格执行安全管理制度。项目施工动火切割擅自变更作业人员，临时安排的动火作业人员未见到《动火许可证》，对相关安全要求不知情，未严格按照安全协议中，关于项目关键岗位人员发生变更应征得衡钢公司书面同意的约定；未对施工所需设施、工器具、材料的安全质量进行严格把关，违章采用木质材料支撑。</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3）现场安全管理不到位。项目施工前未严格开展安全风险辨识，对施工过程中淬火炉因支撑不当下沉、作业人员违章作业等安全风险未认真进行辨识和排查，未采取有效措施防范；施工安全交底只是采取会议形式口头交底，未制发</w:t>
      </w:r>
      <w:r>
        <w:rPr>
          <w:rFonts w:hint="eastAsia" w:ascii="仿宋" w:hAnsi="仿宋" w:eastAsia="仿宋" w:cs="仿宋"/>
          <w:sz w:val="32"/>
        </w:rPr>
        <w:t>详细</w:t>
      </w:r>
      <w:r>
        <w:rPr>
          <w:rFonts w:hint="eastAsia" w:ascii="仿宋" w:hAnsi="仿宋" w:eastAsia="仿宋" w:cs="仿宋"/>
          <w:sz w:val="32"/>
          <w:lang w:eastAsia="zh-CN"/>
        </w:rPr>
        <w:t>的安全施工告知</w:t>
      </w:r>
      <w:r>
        <w:rPr>
          <w:rFonts w:hint="eastAsia" w:ascii="仿宋" w:hAnsi="仿宋" w:eastAsia="仿宋" w:cs="仿宋"/>
          <w:sz w:val="32"/>
        </w:rPr>
        <w:t>说明</w:t>
      </w:r>
      <w:r>
        <w:rPr>
          <w:rFonts w:hint="eastAsia" w:ascii="仿宋" w:hAnsi="仿宋" w:eastAsia="仿宋" w:cs="仿宋"/>
          <w:sz w:val="32"/>
          <w:lang w:eastAsia="zh-CN"/>
        </w:rPr>
        <w:t>，并</w:t>
      </w:r>
      <w:r>
        <w:rPr>
          <w:rFonts w:hint="eastAsia" w:ascii="仿宋" w:hAnsi="仿宋" w:eastAsia="仿宋" w:cs="仿宋"/>
          <w:sz w:val="32"/>
        </w:rPr>
        <w:t>由</w:t>
      </w:r>
      <w:r>
        <w:rPr>
          <w:rFonts w:hint="eastAsia" w:ascii="仿宋" w:hAnsi="仿宋" w:eastAsia="仿宋" w:cs="仿宋"/>
          <w:sz w:val="32"/>
          <w:lang w:eastAsia="zh-CN"/>
        </w:rPr>
        <w:t>施工人员</w:t>
      </w:r>
      <w:r>
        <w:rPr>
          <w:rFonts w:hint="eastAsia" w:ascii="仿宋" w:hAnsi="仿宋" w:eastAsia="仿宋" w:cs="仿宋"/>
          <w:sz w:val="32"/>
        </w:rPr>
        <w:t>签字确认</w:t>
      </w:r>
      <w:r>
        <w:rPr>
          <w:rFonts w:hint="eastAsia" w:ascii="仿宋" w:hAnsi="仿宋" w:eastAsia="仿宋" w:cs="仿宋"/>
          <w:sz w:val="32"/>
          <w:lang w:val="en-US" w:eastAsia="zh-CN"/>
        </w:rPr>
        <w:t>，未实施分项目逐一进行安全技术交底，安全交底针对性不强，安全措施不落实；未严格加强现场安全确认，在未确保安全施工所需设施、工器具、材料到位情况下，盲目组织施工，作业人员拿取用于码放钢管的木塞代替刚性支撑。</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（4）安全教育培训不到位。衡钢工程公司对在职员工培训只有记录可查，无相关培训考试的具体情况，安全培训走过场；岗位作业人员安全意识淡薄，施工中违章作业。</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default"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2.衡钢公司</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1）项目施工统一协调不到位。未严格履行施工合同中关于对工程实施协调、监督检查的职责，未及时发现并纠正施工单位安全教育培训不到位、施工方案不完善、安全交底制度不落实、动火作业临时变更人员等情形；未按要求安装施工场所安全照明设施，场所视线模糊，不利于及时发现和排查事故隐患。</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安全作业审批把关不严。衡钢公司下达了《动火许可证》和《有限空间作业审批表》均未经安全环保部门审核，未经相关技术负责人审核，其中《动火许可证》仅由340厂安全员代表本单位审批同意；340厂热处理车间制定的项目检修计划表中，未将应当用列入计划的刚性支撑材料列入计划。</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（3）现场安全监护不严。事发前，监护人员340厂热处理车间点检员刘**到达现场检查，未指出刚性支撑配备不到位情况，未制止违章作业，且擅自脱离监护岗位，履行监护职责不到位。</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rtl w:val="0"/>
          <w:lang w:val="en" w:eastAsia="zh-CN"/>
        </w:rPr>
      </w:pPr>
      <w:bookmarkStart w:id="13" w:name="_Toc510930899_WPSOffice_Level2"/>
      <w:r>
        <w:rPr>
          <w:rFonts w:hint="eastAsia" w:ascii="楷体" w:hAnsi="楷体" w:eastAsia="楷体" w:cs="楷体"/>
          <w:color w:val="auto"/>
          <w:sz w:val="32"/>
          <w:szCs w:val="32"/>
          <w:lang w:val="en" w:eastAsia="zh-CN"/>
        </w:rPr>
        <w:t>（三）事故性质。</w:t>
      </w:r>
      <w:bookmarkEnd w:id="13"/>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tl w:val="0"/>
          <w:lang w:val="en-US" w:eastAsia="zh-CN"/>
        </w:rPr>
      </w:pPr>
      <w:r>
        <w:rPr>
          <w:rFonts w:hint="eastAsia" w:ascii="仿宋" w:hAnsi="仿宋" w:eastAsia="仿宋" w:cs="仿宋"/>
          <w:sz w:val="32"/>
          <w:rtl w:val="0"/>
          <w:lang w:val="en-US" w:eastAsia="zh-CN"/>
        </w:rPr>
        <w:t>经调查认定，</w:t>
      </w:r>
      <w:r>
        <w:rPr>
          <w:rFonts w:hint="eastAsia" w:ascii="仿宋" w:hAnsi="仿宋" w:eastAsia="仿宋" w:cs="仿宋"/>
          <w:sz w:val="32"/>
          <w:lang w:val="en-US" w:eastAsia="zh-CN"/>
        </w:rPr>
        <w:t>湖南衡阳钢管（集团）有限公司“11·1”一般火灾事故</w:t>
      </w:r>
      <w:r>
        <w:rPr>
          <w:rFonts w:hint="eastAsia" w:ascii="仿宋" w:hAnsi="仿宋" w:eastAsia="仿宋" w:cs="仿宋"/>
          <w:sz w:val="32"/>
          <w:rtl w:val="0"/>
          <w:lang w:val="en-US" w:eastAsia="zh-CN"/>
        </w:rPr>
        <w:t>是一起因作业人员违章作业、现场安全管理不到位导致的生产安全责任事故。</w:t>
      </w:r>
    </w:p>
    <w:p>
      <w:pPr>
        <w:keepNext w:val="0"/>
        <w:keepLines w:val="0"/>
        <w:pageBreakBefore w:val="0"/>
        <w:widowControl/>
        <w:kinsoku/>
        <w:overflowPunct/>
        <w:topLinePunct w:val="0"/>
        <w:autoSpaceDE/>
        <w:autoSpaceDN/>
        <w:bidi w:val="0"/>
        <w:adjustRightInd/>
        <w:snapToGrid/>
        <w:spacing w:line="600" w:lineRule="exact"/>
        <w:ind w:firstLine="627"/>
        <w:jc w:val="left"/>
        <w:textAlignment w:val="auto"/>
        <w:rPr>
          <w:rFonts w:hint="eastAsia" w:eastAsia="黑体"/>
          <w:bCs/>
          <w:color w:val="000000"/>
          <w:kern w:val="0"/>
          <w:sz w:val="32"/>
          <w:szCs w:val="32"/>
          <w:lang w:val="en-US" w:eastAsia="zh-CN"/>
        </w:rPr>
      </w:pPr>
      <w:bookmarkStart w:id="14" w:name="_Toc807863814_WPSOffice_Level1"/>
      <w:r>
        <w:rPr>
          <w:rFonts w:hint="eastAsia" w:eastAsia="黑体"/>
          <w:bCs/>
          <w:color w:val="000000"/>
          <w:kern w:val="0"/>
          <w:sz w:val="32"/>
          <w:szCs w:val="32"/>
          <w:lang w:val="en" w:eastAsia="zh-CN"/>
        </w:rPr>
        <w:t>六、</w:t>
      </w:r>
      <w:r>
        <w:rPr>
          <w:rFonts w:hint="eastAsia" w:eastAsia="黑体"/>
          <w:bCs/>
          <w:color w:val="000000"/>
          <w:kern w:val="0"/>
          <w:sz w:val="32"/>
          <w:szCs w:val="32"/>
          <w:lang w:eastAsia="zh-CN"/>
        </w:rPr>
        <w:t>对事故相关责任人员和责任单位的处理建议</w:t>
      </w:r>
      <w:bookmarkEnd w:id="14"/>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15" w:name="_Toc610093573_WPSOffice_Level2"/>
      <w:r>
        <w:rPr>
          <w:rFonts w:hint="eastAsia" w:ascii="楷体" w:hAnsi="楷体" w:eastAsia="楷体" w:cs="楷体"/>
          <w:color w:val="auto"/>
          <w:sz w:val="32"/>
          <w:szCs w:val="32"/>
          <w:lang w:val="en-US" w:eastAsia="zh-CN"/>
        </w:rPr>
        <w:t>（一）建议免于追究责任人员（1人）。</w:t>
      </w:r>
      <w:bookmarkEnd w:id="15"/>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肖**，男，50岁，衡钢工程公司现场作业人员，当班作业班组长，违章使用木质材料代替刚性支撑，对事故发生负有直接责任。鉴于其在事故中死亡，建议免于追究责任。</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16" w:name="_Toc419460574_WPSOffice_Level2"/>
      <w:r>
        <w:rPr>
          <w:rFonts w:hint="eastAsia" w:ascii="楷体" w:hAnsi="楷体" w:eastAsia="楷体" w:cs="楷体"/>
          <w:color w:val="auto"/>
          <w:sz w:val="32"/>
          <w:szCs w:val="32"/>
          <w:lang w:val="en-US" w:eastAsia="zh-CN"/>
        </w:rPr>
        <w:t>（二）建议予以行政处罚的人员</w:t>
      </w:r>
      <w:bookmarkEnd w:id="16"/>
      <w:r>
        <w:rPr>
          <w:rFonts w:hint="eastAsia" w:ascii="楷体" w:hAnsi="楷体" w:eastAsia="楷体" w:cs="楷体"/>
          <w:color w:val="auto"/>
          <w:sz w:val="32"/>
          <w:szCs w:val="32"/>
          <w:lang w:val="en-US" w:eastAsia="zh-CN"/>
        </w:rPr>
        <w:t>（6人）。</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bookmarkStart w:id="17" w:name="_Toc1418164797_WPSOffice_Level2"/>
      <w:r>
        <w:rPr>
          <w:rFonts w:hint="eastAsia" w:ascii="仿宋" w:hAnsi="仿宋" w:eastAsia="仿宋" w:cs="仿宋"/>
          <w:sz w:val="32"/>
        </w:rPr>
        <w:t>1.</w:t>
      </w:r>
      <w:r>
        <w:rPr>
          <w:rFonts w:hint="eastAsia" w:ascii="仿宋" w:hAnsi="仿宋" w:eastAsia="仿宋" w:cs="仿宋"/>
          <w:sz w:val="32"/>
          <w:lang w:eastAsia="zh-CN"/>
        </w:rPr>
        <w:t>叶*</w:t>
      </w:r>
      <w:r>
        <w:rPr>
          <w:rFonts w:hint="eastAsia" w:ascii="仿宋" w:hAnsi="仿宋" w:eastAsia="仿宋" w:cs="仿宋"/>
          <w:sz w:val="32"/>
        </w:rPr>
        <w:t>，男，43岁，中共党员，衡钢工程公司副经理（主持全面工作）。</w:t>
      </w:r>
      <w:r>
        <w:rPr>
          <w:rFonts w:hint="eastAsia" w:ascii="仿宋" w:hAnsi="仿宋" w:eastAsia="仿宋" w:cs="仿宋"/>
          <w:sz w:val="32"/>
          <w:lang w:eastAsia="zh-CN"/>
        </w:rPr>
        <w:t>其作为单位实际主要负责人，未严格</w:t>
      </w:r>
      <w:r>
        <w:rPr>
          <w:rFonts w:hint="eastAsia" w:ascii="仿宋" w:hAnsi="仿宋" w:eastAsia="仿宋" w:cs="仿宋"/>
          <w:sz w:val="32"/>
        </w:rPr>
        <w:t>落实安全风险分级管控和隐患排查治理双重预防工作机制，督促、检查本单位的安全生产工作</w:t>
      </w:r>
      <w:r>
        <w:rPr>
          <w:rFonts w:hint="eastAsia" w:ascii="仿宋" w:hAnsi="仿宋" w:eastAsia="仿宋" w:cs="仿宋"/>
          <w:sz w:val="32"/>
          <w:lang w:eastAsia="zh-CN"/>
        </w:rPr>
        <w:t>不力</w:t>
      </w:r>
      <w:r>
        <w:rPr>
          <w:rFonts w:hint="eastAsia" w:ascii="仿宋" w:hAnsi="仿宋" w:eastAsia="仿宋" w:cs="仿宋"/>
          <w:sz w:val="32"/>
        </w:rPr>
        <w:t>，</w:t>
      </w:r>
      <w:r>
        <w:rPr>
          <w:rFonts w:hint="eastAsia" w:ascii="仿宋" w:hAnsi="仿宋" w:eastAsia="仿宋" w:cs="仿宋"/>
          <w:sz w:val="32"/>
          <w:lang w:eastAsia="zh-CN"/>
        </w:rPr>
        <w:t>未</w:t>
      </w:r>
      <w:r>
        <w:rPr>
          <w:rFonts w:hint="eastAsia" w:ascii="仿宋" w:hAnsi="仿宋" w:eastAsia="仿宋" w:cs="仿宋"/>
          <w:sz w:val="32"/>
        </w:rPr>
        <w:t>及时</w:t>
      </w:r>
      <w:r>
        <w:rPr>
          <w:rFonts w:hint="eastAsia" w:ascii="仿宋" w:hAnsi="仿宋" w:eastAsia="仿宋" w:cs="仿宋"/>
          <w:sz w:val="32"/>
          <w:lang w:eastAsia="zh-CN"/>
        </w:rPr>
        <w:t>组织</w:t>
      </w:r>
      <w:r>
        <w:rPr>
          <w:rFonts w:hint="eastAsia" w:ascii="仿宋" w:hAnsi="仿宋" w:eastAsia="仿宋" w:cs="仿宋"/>
          <w:sz w:val="32"/>
        </w:rPr>
        <w:t>消除生产安全事故隐患</w:t>
      </w:r>
      <w:r>
        <w:rPr>
          <w:rFonts w:hint="eastAsia" w:ascii="仿宋" w:hAnsi="仿宋" w:eastAsia="仿宋" w:cs="仿宋"/>
          <w:sz w:val="32"/>
          <w:lang w:eastAsia="zh-CN"/>
        </w:rPr>
        <w:t>。</w:t>
      </w:r>
      <w:r>
        <w:rPr>
          <w:rFonts w:hint="eastAsia" w:ascii="仿宋" w:hAnsi="仿宋" w:eastAsia="仿宋" w:cs="仿宋"/>
          <w:sz w:val="32"/>
        </w:rPr>
        <w:t>对事故发生负有</w:t>
      </w:r>
      <w:r>
        <w:rPr>
          <w:rFonts w:hint="eastAsia" w:ascii="仿宋" w:hAnsi="仿宋" w:eastAsia="仿宋" w:cs="仿宋"/>
          <w:sz w:val="32"/>
          <w:lang w:eastAsia="zh-CN"/>
        </w:rPr>
        <w:t>主要负责人责任，</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rPr>
        <w:t>2.</w:t>
      </w:r>
      <w:r>
        <w:rPr>
          <w:rFonts w:hint="eastAsia" w:ascii="仿宋" w:hAnsi="仿宋" w:eastAsia="仿宋" w:cs="仿宋"/>
          <w:sz w:val="32"/>
          <w:lang w:eastAsia="zh-CN"/>
        </w:rPr>
        <w:t>孟*</w:t>
      </w:r>
      <w:r>
        <w:rPr>
          <w:rFonts w:hint="eastAsia" w:ascii="仿宋" w:hAnsi="仿宋" w:eastAsia="仿宋" w:cs="仿宋"/>
          <w:sz w:val="32"/>
        </w:rPr>
        <w:t>，男，53岁，中共党员，衡钢工程公司主任工程师。对</w:t>
      </w:r>
      <w:r>
        <w:rPr>
          <w:rFonts w:hint="eastAsia" w:ascii="仿宋" w:hAnsi="仿宋" w:eastAsia="仿宋" w:cs="仿宋"/>
          <w:sz w:val="32"/>
          <w:lang w:eastAsia="zh-CN"/>
        </w:rPr>
        <w:t>施工方案把关不严，施工技术管理、组织安全技术交底和开展员工安全教育培训</w:t>
      </w:r>
      <w:r>
        <w:rPr>
          <w:rFonts w:hint="eastAsia" w:ascii="仿宋" w:hAnsi="仿宋" w:eastAsia="仿宋" w:cs="仿宋"/>
          <w:sz w:val="32"/>
        </w:rPr>
        <w:t>不</w:t>
      </w:r>
      <w:r>
        <w:rPr>
          <w:rFonts w:hint="eastAsia" w:ascii="仿宋" w:hAnsi="仿宋" w:eastAsia="仿宋" w:cs="仿宋"/>
          <w:sz w:val="32"/>
          <w:lang w:eastAsia="zh-CN"/>
        </w:rPr>
        <w:t>到位。</w:t>
      </w:r>
      <w:r>
        <w:rPr>
          <w:rFonts w:hint="eastAsia" w:ascii="仿宋" w:hAnsi="仿宋" w:eastAsia="仿宋" w:cs="仿宋"/>
          <w:sz w:val="32"/>
        </w:rPr>
        <w:t>对此次事故发生负有</w:t>
      </w:r>
      <w:r>
        <w:rPr>
          <w:rFonts w:hint="eastAsia" w:ascii="仿宋" w:hAnsi="仿宋" w:eastAsia="仿宋" w:cs="仿宋"/>
          <w:sz w:val="32"/>
          <w:lang w:eastAsia="zh-CN"/>
        </w:rPr>
        <w:t>重要</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rPr>
        <w:t>3.</w:t>
      </w:r>
      <w:r>
        <w:rPr>
          <w:rFonts w:hint="eastAsia" w:ascii="仿宋" w:hAnsi="仿宋" w:eastAsia="仿宋" w:cs="仿宋"/>
          <w:sz w:val="32"/>
          <w:lang w:eastAsia="zh-CN"/>
        </w:rPr>
        <w:t>沈**</w:t>
      </w:r>
      <w:r>
        <w:rPr>
          <w:rFonts w:hint="eastAsia" w:ascii="仿宋" w:hAnsi="仿宋" w:eastAsia="仿宋" w:cs="仿宋"/>
          <w:sz w:val="32"/>
        </w:rPr>
        <w:t>，男，30岁，中共党员，衡钢工程公司340维修工段段长。现场安全监督管理、</w:t>
      </w:r>
      <w:r>
        <w:rPr>
          <w:rFonts w:hint="eastAsia" w:ascii="仿宋" w:hAnsi="仿宋" w:eastAsia="仿宋" w:cs="仿宋"/>
          <w:sz w:val="32"/>
          <w:lang w:eastAsia="zh-CN"/>
        </w:rPr>
        <w:t>组织安全技术交底和现场安全确认不到位，组织开展员工安全教育培训</w:t>
      </w:r>
      <w:r>
        <w:rPr>
          <w:rFonts w:hint="eastAsia" w:ascii="仿宋" w:hAnsi="仿宋" w:eastAsia="仿宋" w:cs="仿宋"/>
          <w:sz w:val="32"/>
        </w:rPr>
        <w:t>不</w:t>
      </w:r>
      <w:r>
        <w:rPr>
          <w:rFonts w:hint="eastAsia" w:ascii="仿宋" w:hAnsi="仿宋" w:eastAsia="仿宋" w:cs="仿宋"/>
          <w:sz w:val="32"/>
          <w:lang w:eastAsia="zh-CN"/>
        </w:rPr>
        <w:t>到位。</w:t>
      </w:r>
      <w:r>
        <w:rPr>
          <w:rFonts w:hint="eastAsia" w:ascii="仿宋" w:hAnsi="仿宋" w:eastAsia="仿宋" w:cs="仿宋"/>
          <w:sz w:val="32"/>
        </w:rPr>
        <w:t>对事故发生负有</w:t>
      </w:r>
      <w:r>
        <w:rPr>
          <w:rFonts w:hint="eastAsia" w:ascii="仿宋" w:hAnsi="仿宋" w:eastAsia="仿宋" w:cs="仿宋"/>
          <w:sz w:val="32"/>
          <w:lang w:eastAsia="zh-CN"/>
        </w:rPr>
        <w:t>重要</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4.</w:t>
      </w:r>
      <w:r>
        <w:rPr>
          <w:rFonts w:hint="eastAsia" w:ascii="仿宋" w:hAnsi="仿宋" w:eastAsia="仿宋" w:cs="仿宋"/>
          <w:sz w:val="32"/>
          <w:lang w:eastAsia="zh-CN"/>
        </w:rPr>
        <w:t>唐**</w:t>
      </w:r>
      <w:r>
        <w:rPr>
          <w:rFonts w:hint="eastAsia" w:ascii="仿宋" w:hAnsi="仿宋" w:eastAsia="仿宋" w:cs="仿宋"/>
          <w:sz w:val="32"/>
        </w:rPr>
        <w:t>，男</w:t>
      </w:r>
      <w:r>
        <w:rPr>
          <w:rFonts w:hint="eastAsia" w:ascii="仿宋" w:hAnsi="仿宋" w:eastAsia="仿宋" w:cs="仿宋"/>
          <w:sz w:val="32"/>
          <w:lang w:eastAsia="zh-CN"/>
        </w:rPr>
        <w:t>，</w:t>
      </w:r>
      <w:r>
        <w:rPr>
          <w:rFonts w:hint="eastAsia" w:ascii="仿宋" w:hAnsi="仿宋" w:eastAsia="仿宋" w:cs="仿宋"/>
          <w:sz w:val="32"/>
        </w:rPr>
        <w:t>42岁，中共党员，衡钢工程公司热处理车间主管</w:t>
      </w:r>
      <w:r>
        <w:rPr>
          <w:rFonts w:hint="eastAsia" w:ascii="仿宋" w:hAnsi="仿宋" w:eastAsia="仿宋" w:cs="仿宋"/>
          <w:sz w:val="32"/>
          <w:lang w:eastAsia="zh-CN"/>
        </w:rPr>
        <w:t>，项目施工安全监护人员</w:t>
      </w:r>
      <w:r>
        <w:rPr>
          <w:rFonts w:hint="eastAsia" w:ascii="仿宋" w:hAnsi="仿宋" w:eastAsia="仿宋" w:cs="仿宋"/>
          <w:sz w:val="32"/>
        </w:rPr>
        <w:t>。对作业现场安全监督管理</w:t>
      </w:r>
      <w:r>
        <w:rPr>
          <w:rFonts w:hint="eastAsia" w:ascii="仿宋" w:hAnsi="仿宋" w:eastAsia="仿宋" w:cs="仿宋"/>
          <w:sz w:val="32"/>
          <w:lang w:eastAsia="zh-CN"/>
        </w:rPr>
        <w:t>、安全监护不到位。</w:t>
      </w:r>
      <w:r>
        <w:rPr>
          <w:rFonts w:hint="eastAsia" w:ascii="仿宋" w:hAnsi="仿宋" w:eastAsia="仿宋" w:cs="仿宋"/>
          <w:sz w:val="32"/>
        </w:rPr>
        <w:t>对事故发生负有</w:t>
      </w:r>
      <w:r>
        <w:rPr>
          <w:rFonts w:hint="eastAsia" w:ascii="仿宋" w:hAnsi="仿宋" w:eastAsia="仿宋" w:cs="仿宋"/>
          <w:sz w:val="32"/>
          <w:lang w:eastAsia="zh-CN"/>
        </w:rPr>
        <w:t>直接</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lang w:val="en-US" w:eastAsia="zh-CN"/>
        </w:rPr>
        <w:t>5.</w:t>
      </w:r>
      <w:r>
        <w:rPr>
          <w:rFonts w:hint="eastAsia" w:ascii="仿宋" w:hAnsi="仿宋" w:eastAsia="仿宋" w:cs="仿宋"/>
          <w:sz w:val="32"/>
          <w:lang w:eastAsia="zh-CN"/>
        </w:rPr>
        <w:t>刘**</w:t>
      </w:r>
      <w:r>
        <w:rPr>
          <w:rFonts w:hint="eastAsia" w:ascii="仿宋" w:hAnsi="仿宋" w:eastAsia="仿宋" w:cs="仿宋"/>
          <w:sz w:val="32"/>
        </w:rPr>
        <w:t>，男，27岁，共青团员，衡钢公司340厂热处理车间机械点检员</w:t>
      </w:r>
      <w:r>
        <w:rPr>
          <w:rFonts w:hint="eastAsia" w:ascii="仿宋" w:hAnsi="仿宋" w:eastAsia="仿宋" w:cs="仿宋"/>
          <w:sz w:val="32"/>
          <w:lang w:eastAsia="zh-CN"/>
        </w:rPr>
        <w:t>，项目施工安全监护人员</w:t>
      </w:r>
      <w:r>
        <w:rPr>
          <w:rFonts w:hint="eastAsia" w:ascii="仿宋" w:hAnsi="仿宋" w:eastAsia="仿宋" w:cs="仿宋"/>
          <w:sz w:val="32"/>
        </w:rPr>
        <w:t>。</w:t>
      </w:r>
      <w:r>
        <w:rPr>
          <w:rFonts w:hint="eastAsia" w:ascii="仿宋" w:hAnsi="仿宋" w:eastAsia="仿宋" w:cs="仿宋"/>
          <w:sz w:val="32"/>
          <w:lang w:val="en-US" w:eastAsia="zh-CN"/>
        </w:rPr>
        <w:t>事发前达现场检查，未指出刚性支撑配备不到位情况</w:t>
      </w:r>
      <w:r>
        <w:rPr>
          <w:rFonts w:hint="eastAsia" w:ascii="仿宋" w:hAnsi="仿宋" w:eastAsia="仿宋" w:cs="仿宋"/>
          <w:sz w:val="32"/>
        </w:rPr>
        <w:t>，</w:t>
      </w:r>
      <w:r>
        <w:rPr>
          <w:rFonts w:hint="eastAsia" w:ascii="仿宋" w:hAnsi="仿宋" w:eastAsia="仿宋" w:cs="仿宋"/>
          <w:sz w:val="32"/>
          <w:lang w:val="en-US" w:eastAsia="zh-CN"/>
        </w:rPr>
        <w:t>未制止违章作业，擅自脱离监护岗位，</w:t>
      </w:r>
      <w:r>
        <w:rPr>
          <w:rFonts w:hint="eastAsia" w:ascii="仿宋" w:hAnsi="仿宋" w:eastAsia="仿宋" w:cs="仿宋"/>
          <w:sz w:val="32"/>
          <w:lang w:eastAsia="zh-CN"/>
        </w:rPr>
        <w:t>未严格落实</w:t>
      </w:r>
      <w:r>
        <w:rPr>
          <w:rFonts w:hint="eastAsia" w:ascii="仿宋" w:hAnsi="仿宋" w:eastAsia="仿宋" w:cs="仿宋"/>
          <w:sz w:val="32"/>
        </w:rPr>
        <w:t>安全确认</w:t>
      </w:r>
      <w:r>
        <w:rPr>
          <w:rFonts w:hint="eastAsia" w:ascii="仿宋" w:hAnsi="仿宋" w:eastAsia="仿宋" w:cs="仿宋"/>
          <w:sz w:val="32"/>
          <w:lang w:eastAsia="zh-CN"/>
        </w:rPr>
        <w:t>制度</w:t>
      </w:r>
      <w:r>
        <w:rPr>
          <w:rFonts w:hint="eastAsia" w:ascii="仿宋" w:hAnsi="仿宋" w:eastAsia="仿宋" w:cs="仿宋"/>
          <w:sz w:val="32"/>
          <w:lang w:val="en-US" w:eastAsia="zh-CN"/>
        </w:rPr>
        <w:t>。</w:t>
      </w:r>
      <w:r>
        <w:rPr>
          <w:rFonts w:hint="eastAsia" w:ascii="仿宋" w:hAnsi="仿宋" w:eastAsia="仿宋" w:cs="仿宋"/>
          <w:sz w:val="32"/>
        </w:rPr>
        <w:t>对事故发生负有</w:t>
      </w:r>
      <w:r>
        <w:rPr>
          <w:rFonts w:hint="eastAsia" w:ascii="仿宋" w:hAnsi="仿宋" w:eastAsia="仿宋" w:cs="仿宋"/>
          <w:sz w:val="32"/>
          <w:lang w:eastAsia="zh-CN"/>
        </w:rPr>
        <w:t>直接</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lang w:val="en-US" w:eastAsia="zh-CN"/>
        </w:rPr>
        <w:t>6.</w:t>
      </w:r>
      <w:r>
        <w:rPr>
          <w:rFonts w:hint="eastAsia" w:ascii="仿宋" w:hAnsi="仿宋" w:eastAsia="仿宋" w:cs="仿宋"/>
          <w:sz w:val="32"/>
          <w:lang w:eastAsia="zh-CN"/>
        </w:rPr>
        <w:t>吴**</w:t>
      </w:r>
      <w:r>
        <w:rPr>
          <w:rFonts w:hint="eastAsia" w:ascii="仿宋" w:hAnsi="仿宋" w:eastAsia="仿宋" w:cs="仿宋"/>
          <w:sz w:val="32"/>
        </w:rPr>
        <w:t>，男，38岁，中共党员，</w:t>
      </w:r>
      <w:r>
        <w:rPr>
          <w:rFonts w:hint="eastAsia" w:ascii="仿宋" w:hAnsi="仿宋" w:eastAsia="仿宋" w:cs="仿宋"/>
          <w:sz w:val="32"/>
          <w:lang w:eastAsia="zh-CN"/>
        </w:rPr>
        <w:t>衡钢</w:t>
      </w:r>
      <w:r>
        <w:rPr>
          <w:rFonts w:hint="eastAsia" w:ascii="仿宋" w:hAnsi="仿宋" w:eastAsia="仿宋" w:cs="仿宋"/>
          <w:sz w:val="32"/>
        </w:rPr>
        <w:t>公司340厂设备副厂长（党委书记）。对</w:t>
      </w:r>
      <w:r>
        <w:rPr>
          <w:rFonts w:hint="eastAsia" w:ascii="仿宋" w:hAnsi="仿宋" w:eastAsia="仿宋" w:cs="仿宋"/>
          <w:sz w:val="32"/>
          <w:lang w:eastAsia="zh-CN"/>
        </w:rPr>
        <w:t>项目检修计划和施工方案审批把关不严，督促安全技术交底和开展员工安全教育培训</w:t>
      </w:r>
      <w:r>
        <w:rPr>
          <w:rFonts w:hint="eastAsia" w:ascii="仿宋" w:hAnsi="仿宋" w:eastAsia="仿宋" w:cs="仿宋"/>
          <w:sz w:val="32"/>
        </w:rPr>
        <w:t>不</w:t>
      </w:r>
      <w:r>
        <w:rPr>
          <w:rFonts w:hint="eastAsia" w:ascii="仿宋" w:hAnsi="仿宋" w:eastAsia="仿宋" w:cs="仿宋"/>
          <w:sz w:val="32"/>
          <w:lang w:eastAsia="zh-CN"/>
        </w:rPr>
        <w:t>到位。</w:t>
      </w:r>
      <w:r>
        <w:rPr>
          <w:rFonts w:hint="eastAsia" w:ascii="仿宋" w:hAnsi="仿宋" w:eastAsia="仿宋" w:cs="仿宋"/>
          <w:sz w:val="32"/>
        </w:rPr>
        <w:t>对事故发生负有</w:t>
      </w:r>
      <w:r>
        <w:rPr>
          <w:rFonts w:hint="eastAsia" w:ascii="仿宋" w:hAnsi="仿宋" w:eastAsia="仿宋" w:cs="仿宋"/>
          <w:sz w:val="32"/>
          <w:lang w:eastAsia="zh-CN"/>
        </w:rPr>
        <w:t>重要</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（三）建议按公司内部规定处理人员（5人）。</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rPr>
        <w:t>1.</w:t>
      </w:r>
      <w:r>
        <w:rPr>
          <w:rFonts w:hint="eastAsia" w:ascii="仿宋" w:hAnsi="仿宋" w:eastAsia="仿宋" w:cs="仿宋"/>
          <w:sz w:val="32"/>
          <w:lang w:val="en" w:eastAsia="zh-CN"/>
        </w:rPr>
        <w:t>李**</w:t>
      </w:r>
      <w:r>
        <w:rPr>
          <w:rFonts w:hint="default" w:ascii="仿宋" w:hAnsi="仿宋" w:eastAsia="仿宋" w:cs="仿宋"/>
          <w:sz w:val="32"/>
          <w:lang w:val="en" w:eastAsia="zh-CN"/>
        </w:rPr>
        <w:t>,</w:t>
      </w:r>
      <w:r>
        <w:rPr>
          <w:rFonts w:hint="eastAsia" w:ascii="仿宋" w:hAnsi="仿宋" w:eastAsia="仿宋" w:cs="仿宋"/>
          <w:sz w:val="32"/>
          <w:lang w:val="en" w:eastAsia="zh-CN"/>
        </w:rPr>
        <w:t>男，</w:t>
      </w:r>
      <w:r>
        <w:rPr>
          <w:rFonts w:hint="eastAsia" w:ascii="仿宋" w:hAnsi="仿宋" w:eastAsia="仿宋" w:cs="仿宋"/>
          <w:sz w:val="32"/>
          <w:lang w:val="en-US" w:eastAsia="zh-CN"/>
        </w:rPr>
        <w:t>51</w:t>
      </w:r>
      <w:r>
        <w:rPr>
          <w:rFonts w:hint="eastAsia" w:ascii="仿宋" w:hAnsi="仿宋" w:eastAsia="仿宋" w:cs="仿宋"/>
          <w:sz w:val="32"/>
        </w:rPr>
        <w:t>岁，</w:t>
      </w:r>
      <w:r>
        <w:rPr>
          <w:rFonts w:hint="eastAsia" w:ascii="仿宋" w:hAnsi="仿宋" w:eastAsia="仿宋" w:cs="仿宋"/>
          <w:sz w:val="32"/>
          <w:lang w:eastAsia="zh-CN"/>
        </w:rPr>
        <w:t>群众，</w:t>
      </w:r>
      <w:r>
        <w:rPr>
          <w:rFonts w:hint="eastAsia" w:ascii="仿宋" w:hAnsi="仿宋" w:eastAsia="仿宋" w:cs="仿宋"/>
          <w:sz w:val="32"/>
          <w:lang w:val="en-US" w:eastAsia="zh-CN"/>
        </w:rPr>
        <w:t>衡钢工程公司维修工段副段长</w:t>
      </w:r>
      <w:r>
        <w:rPr>
          <w:rFonts w:hint="default" w:ascii="仿宋" w:hAnsi="仿宋" w:eastAsia="仿宋" w:cs="仿宋"/>
          <w:sz w:val="32"/>
          <w:lang w:val="en" w:eastAsia="zh-CN"/>
        </w:rPr>
        <w:t>,</w:t>
      </w:r>
      <w:r>
        <w:rPr>
          <w:rFonts w:hint="eastAsia" w:ascii="仿宋" w:hAnsi="仿宋" w:eastAsia="仿宋" w:cs="仿宋"/>
          <w:sz w:val="32"/>
          <w:lang w:val="en" w:eastAsia="zh-CN"/>
        </w:rPr>
        <w:t>具体主管</w:t>
      </w:r>
      <w:r>
        <w:rPr>
          <w:rFonts w:hint="eastAsia" w:ascii="仿宋" w:hAnsi="仿宋" w:eastAsia="仿宋" w:cs="仿宋"/>
          <w:sz w:val="32"/>
          <w:lang w:val="en-US" w:eastAsia="zh-CN"/>
        </w:rPr>
        <w:t>340 厂精整片区设备维护工作。未切实加强维修项目施工安全管理，督促检查不到位。</w:t>
      </w:r>
      <w:r>
        <w:rPr>
          <w:rFonts w:hint="eastAsia" w:ascii="仿宋" w:hAnsi="仿宋" w:eastAsia="仿宋" w:cs="仿宋"/>
          <w:sz w:val="32"/>
        </w:rPr>
        <w:t>对事故发生负有管理责任</w:t>
      </w:r>
      <w:r>
        <w:rPr>
          <w:rFonts w:hint="eastAsia" w:ascii="仿宋" w:hAnsi="仿宋" w:eastAsia="仿宋" w:cs="仿宋"/>
          <w:sz w:val="32"/>
          <w:lang w:eastAsia="zh-CN"/>
        </w:rPr>
        <w:t>，</w:t>
      </w:r>
      <w:r>
        <w:rPr>
          <w:rFonts w:hint="eastAsia" w:ascii="仿宋" w:hAnsi="仿宋" w:eastAsia="仿宋" w:cs="仿宋"/>
          <w:sz w:val="32"/>
        </w:rPr>
        <w:t>建议由衡钢公司按照公司内部规定进行处理。</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2.汤**，男，44</w:t>
      </w:r>
      <w:r>
        <w:rPr>
          <w:rFonts w:hint="eastAsia" w:ascii="仿宋" w:hAnsi="仿宋" w:eastAsia="仿宋" w:cs="仿宋"/>
          <w:sz w:val="32"/>
        </w:rPr>
        <w:t>岁，</w:t>
      </w:r>
      <w:r>
        <w:rPr>
          <w:rFonts w:hint="eastAsia" w:ascii="仿宋" w:hAnsi="仿宋" w:eastAsia="仿宋" w:cs="仿宋"/>
          <w:sz w:val="32"/>
          <w:lang w:eastAsia="zh-CN"/>
        </w:rPr>
        <w:t>中共党员，</w:t>
      </w:r>
      <w:r>
        <w:rPr>
          <w:rFonts w:hint="eastAsia" w:ascii="仿宋" w:hAnsi="仿宋" w:eastAsia="仿宋" w:cs="仿宋"/>
          <w:sz w:val="32"/>
        </w:rPr>
        <w:t>衡钢</w:t>
      </w:r>
      <w:r>
        <w:rPr>
          <w:rFonts w:hint="eastAsia" w:ascii="仿宋" w:hAnsi="仿宋" w:eastAsia="仿宋" w:cs="仿宋"/>
          <w:sz w:val="32"/>
          <w:lang w:eastAsia="zh-CN"/>
        </w:rPr>
        <w:t>工程</w:t>
      </w:r>
      <w:r>
        <w:rPr>
          <w:rFonts w:hint="eastAsia" w:ascii="仿宋" w:hAnsi="仿宋" w:eastAsia="仿宋" w:cs="仿宋"/>
          <w:sz w:val="32"/>
        </w:rPr>
        <w:t>公司</w:t>
      </w:r>
      <w:r>
        <w:rPr>
          <w:rFonts w:hint="eastAsia" w:ascii="仿宋" w:hAnsi="仿宋" w:eastAsia="仿宋" w:cs="仿宋"/>
          <w:sz w:val="32"/>
          <w:lang w:val="en-US" w:eastAsia="zh-CN"/>
        </w:rPr>
        <w:t>安全环保科科长，主管安全和环保管理工作。维修项目施工安全管理不到位，未严格督促落实项目施工安全交底和现场安全确认制度。</w:t>
      </w:r>
      <w:r>
        <w:rPr>
          <w:rFonts w:hint="eastAsia" w:ascii="仿宋" w:hAnsi="仿宋" w:eastAsia="仿宋" w:cs="仿宋"/>
          <w:sz w:val="32"/>
          <w:lang w:eastAsia="zh-CN"/>
        </w:rPr>
        <w:t>对事故发生负有管理责任，建议由衡钢公司按照公司内部规定进行处理。</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lang w:val="en-US" w:eastAsia="zh-CN"/>
        </w:rPr>
        <w:t>3.</w:t>
      </w:r>
      <w:r>
        <w:rPr>
          <w:rFonts w:hint="eastAsia" w:ascii="仿宋" w:hAnsi="仿宋" w:eastAsia="仿宋" w:cs="仿宋"/>
          <w:sz w:val="32"/>
          <w:lang w:eastAsia="zh-CN"/>
        </w:rPr>
        <w:t>王**，男，55岁，中共党员，</w:t>
      </w:r>
      <w:r>
        <w:rPr>
          <w:rFonts w:hint="eastAsia" w:ascii="仿宋" w:hAnsi="仿宋" w:eastAsia="仿宋" w:cs="仿宋"/>
          <w:sz w:val="32"/>
        </w:rPr>
        <w:t>衡钢公司340厂热处理车间安全员，负责340厂热处理车间安全生产</w:t>
      </w:r>
      <w:r>
        <w:rPr>
          <w:rFonts w:hint="eastAsia" w:ascii="仿宋" w:hAnsi="仿宋" w:eastAsia="仿宋" w:cs="仿宋"/>
          <w:sz w:val="32"/>
          <w:lang w:eastAsia="zh-CN"/>
        </w:rPr>
        <w:t>监督</w:t>
      </w:r>
      <w:r>
        <w:rPr>
          <w:rFonts w:hint="eastAsia" w:ascii="仿宋" w:hAnsi="仿宋" w:eastAsia="仿宋" w:cs="仿宋"/>
          <w:sz w:val="32"/>
        </w:rPr>
        <w:t>工作，</w:t>
      </w:r>
      <w:r>
        <w:rPr>
          <w:rFonts w:hint="eastAsia" w:ascii="仿宋" w:hAnsi="仿宋" w:eastAsia="仿宋" w:cs="仿宋"/>
          <w:sz w:val="32"/>
          <w:lang w:eastAsia="zh-CN"/>
        </w:rPr>
        <w:t>开展项目施工安全检查和督促开展</w:t>
      </w:r>
      <w:r>
        <w:rPr>
          <w:rFonts w:hint="eastAsia" w:ascii="仿宋" w:hAnsi="仿宋" w:eastAsia="仿宋" w:cs="仿宋"/>
          <w:sz w:val="32"/>
        </w:rPr>
        <w:t>现场安全确认</w:t>
      </w:r>
      <w:r>
        <w:rPr>
          <w:rFonts w:hint="eastAsia" w:ascii="仿宋" w:hAnsi="仿宋" w:eastAsia="仿宋" w:cs="仿宋"/>
          <w:sz w:val="32"/>
          <w:lang w:eastAsia="zh-CN"/>
        </w:rPr>
        <w:t>不到位</w:t>
      </w:r>
      <w:r>
        <w:rPr>
          <w:rFonts w:hint="eastAsia" w:ascii="仿宋" w:hAnsi="仿宋" w:eastAsia="仿宋" w:cs="仿宋"/>
          <w:sz w:val="32"/>
        </w:rPr>
        <w:t>，对此次事故发生负有安全管理责任。建议由衡钢公司按照公司内部规定进行处理。</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lang w:val="en-US" w:eastAsia="zh-CN"/>
        </w:rPr>
        <w:t>4.</w:t>
      </w:r>
      <w:r>
        <w:rPr>
          <w:rFonts w:hint="eastAsia" w:ascii="仿宋" w:hAnsi="仿宋" w:eastAsia="仿宋" w:cs="仿宋"/>
          <w:sz w:val="32"/>
          <w:lang w:eastAsia="zh-CN"/>
        </w:rPr>
        <w:t>王**</w:t>
      </w:r>
      <w:r>
        <w:rPr>
          <w:rFonts w:hint="eastAsia" w:ascii="仿宋" w:hAnsi="仿宋" w:eastAsia="仿宋" w:cs="仿宋"/>
          <w:sz w:val="32"/>
        </w:rPr>
        <w:t>，男，42岁</w:t>
      </w:r>
      <w:r>
        <w:rPr>
          <w:rFonts w:hint="eastAsia" w:ascii="仿宋" w:hAnsi="仿宋" w:eastAsia="仿宋" w:cs="仿宋"/>
          <w:sz w:val="32"/>
          <w:lang w:eastAsia="zh-CN"/>
        </w:rPr>
        <w:t>，群众</w:t>
      </w:r>
      <w:r>
        <w:rPr>
          <w:rFonts w:hint="eastAsia" w:ascii="仿宋" w:hAnsi="仿宋" w:eastAsia="仿宋" w:cs="仿宋"/>
          <w:sz w:val="32"/>
        </w:rPr>
        <w:t>，衡钢公司340厂热处理车间副主任。</w:t>
      </w:r>
      <w:r>
        <w:rPr>
          <w:rFonts w:hint="eastAsia" w:ascii="仿宋" w:hAnsi="仿宋" w:eastAsia="仿宋" w:cs="仿宋"/>
          <w:sz w:val="32"/>
          <w:lang w:eastAsia="zh-CN"/>
        </w:rPr>
        <w:t>组织开展项目施工统一协调管理不到位，督促项目施工安全管理不到位。</w:t>
      </w:r>
      <w:r>
        <w:rPr>
          <w:rFonts w:hint="eastAsia" w:ascii="仿宋" w:hAnsi="仿宋" w:eastAsia="仿宋" w:cs="仿宋"/>
          <w:sz w:val="32"/>
        </w:rPr>
        <w:t>对事故发生负有</w:t>
      </w:r>
      <w:r>
        <w:rPr>
          <w:rFonts w:hint="eastAsia" w:ascii="仿宋" w:hAnsi="仿宋" w:eastAsia="仿宋" w:cs="仿宋"/>
          <w:sz w:val="32"/>
          <w:lang w:eastAsia="zh-CN"/>
        </w:rPr>
        <w:t>安全</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建议由衡钢公司按照公司内部规定进行处理。</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仿宋" w:hAnsi="仿宋" w:eastAsia="仿宋" w:cs="仿宋"/>
          <w:sz w:val="32"/>
          <w:lang w:val="en-US" w:eastAsia="zh-CN"/>
        </w:rPr>
        <w:t>5.杨**，男，41</w:t>
      </w:r>
      <w:r>
        <w:rPr>
          <w:rFonts w:hint="eastAsia" w:ascii="仿宋" w:hAnsi="仿宋" w:eastAsia="仿宋" w:cs="仿宋"/>
          <w:sz w:val="32"/>
        </w:rPr>
        <w:t>岁，</w:t>
      </w:r>
      <w:r>
        <w:rPr>
          <w:rFonts w:hint="eastAsia" w:ascii="仿宋" w:hAnsi="仿宋" w:eastAsia="仿宋" w:cs="仿宋"/>
          <w:sz w:val="32"/>
          <w:lang w:eastAsia="zh-CN"/>
        </w:rPr>
        <w:t>中共党员，</w:t>
      </w:r>
      <w:r>
        <w:rPr>
          <w:rFonts w:hint="eastAsia" w:ascii="仿宋" w:hAnsi="仿宋" w:eastAsia="仿宋" w:cs="仿宋"/>
          <w:sz w:val="32"/>
        </w:rPr>
        <w:t>衡钢公司</w:t>
      </w:r>
      <w:r>
        <w:rPr>
          <w:rFonts w:hint="eastAsia" w:ascii="仿宋" w:hAnsi="仿宋" w:eastAsia="仿宋" w:cs="仿宋"/>
          <w:sz w:val="32"/>
          <w:lang w:eastAsia="zh-CN"/>
        </w:rPr>
        <w:t>设备工程部副部长，主管设备运行、维修、设备执行标准的策划及监督检查等工作。设备维修管理不严，未严格督促检修项目计划审核把关，涉事项目计划表</w:t>
      </w:r>
      <w:r>
        <w:rPr>
          <w:rFonts w:hint="eastAsia" w:ascii="仿宋" w:hAnsi="仿宋" w:eastAsia="仿宋" w:cs="仿宋"/>
          <w:sz w:val="32"/>
          <w:lang w:val="en-US" w:eastAsia="zh-CN"/>
        </w:rPr>
        <w:t>未将刚性支撑材料列入计划；项目施工现场督促管理不到位，未严格督促组织开展</w:t>
      </w:r>
      <w:r>
        <w:rPr>
          <w:rFonts w:hint="eastAsia" w:ascii="仿宋" w:hAnsi="仿宋" w:eastAsia="仿宋" w:cs="仿宋"/>
          <w:sz w:val="32"/>
          <w:lang w:eastAsia="zh-CN"/>
        </w:rPr>
        <w:t>安全技术交底和现场安全确认。</w:t>
      </w:r>
      <w:r>
        <w:rPr>
          <w:rFonts w:hint="eastAsia" w:ascii="仿宋" w:hAnsi="仿宋" w:eastAsia="仿宋" w:cs="仿宋"/>
          <w:sz w:val="32"/>
        </w:rPr>
        <w:t>对事故发生负有</w:t>
      </w:r>
      <w:r>
        <w:rPr>
          <w:rFonts w:hint="eastAsia" w:ascii="仿宋" w:hAnsi="仿宋" w:eastAsia="仿宋" w:cs="仿宋"/>
          <w:sz w:val="32"/>
          <w:lang w:eastAsia="zh-CN"/>
        </w:rPr>
        <w:t>安全</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Pr>
        <w:t>建议由衡钢公司按照公司内部规定进行处理。</w:t>
      </w:r>
    </w:p>
    <w:bookmarkEnd w:id="17"/>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bookmarkStart w:id="18" w:name="_Toc1817100303_WPSOffice_Level2"/>
      <w:r>
        <w:rPr>
          <w:rFonts w:hint="eastAsia" w:ascii="楷体" w:hAnsi="楷体" w:eastAsia="楷体" w:cs="楷体"/>
          <w:color w:val="auto"/>
          <w:sz w:val="32"/>
          <w:szCs w:val="32"/>
          <w:lang w:val="en-US" w:eastAsia="zh-CN"/>
        </w:rPr>
        <w:t>（四）</w:t>
      </w:r>
      <w:r>
        <w:rPr>
          <w:rFonts w:hint="eastAsia" w:ascii="楷体" w:hAnsi="楷体" w:eastAsia="楷体" w:cs="楷体"/>
          <w:b w:val="0"/>
          <w:bCs w:val="0"/>
          <w:color w:val="auto"/>
          <w:sz w:val="30"/>
          <w:szCs w:val="30"/>
          <w:lang w:eastAsia="zh-CN"/>
        </w:rPr>
        <w:t>建议予以追责问责的人员（</w:t>
      </w:r>
      <w:r>
        <w:rPr>
          <w:rFonts w:hint="eastAsia" w:ascii="楷体" w:hAnsi="楷体" w:eastAsia="楷体" w:cs="楷体"/>
          <w:b w:val="0"/>
          <w:bCs w:val="0"/>
          <w:color w:val="auto"/>
          <w:sz w:val="30"/>
          <w:szCs w:val="30"/>
          <w:lang w:val="en-US" w:eastAsia="zh-CN"/>
        </w:rPr>
        <w:t>3人</w:t>
      </w:r>
      <w:r>
        <w:rPr>
          <w:rFonts w:hint="eastAsia" w:ascii="楷体" w:hAnsi="楷体" w:eastAsia="楷体" w:cs="楷体"/>
          <w:b w:val="0"/>
          <w:bCs w:val="0"/>
          <w:color w:val="auto"/>
          <w:sz w:val="30"/>
          <w:szCs w:val="30"/>
          <w:lang w:eastAsia="zh-CN"/>
        </w:rPr>
        <w:t>）</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rPr>
        <w:t>1.</w:t>
      </w:r>
      <w:r>
        <w:rPr>
          <w:rFonts w:hint="eastAsia" w:ascii="仿宋" w:hAnsi="仿宋" w:eastAsia="仿宋" w:cs="仿宋"/>
          <w:sz w:val="32"/>
          <w:lang w:eastAsia="zh-CN"/>
        </w:rPr>
        <w:t>叶*</w:t>
      </w:r>
      <w:r>
        <w:rPr>
          <w:rFonts w:hint="eastAsia" w:ascii="仿宋" w:hAnsi="仿宋" w:eastAsia="仿宋" w:cs="仿宋"/>
          <w:sz w:val="32"/>
        </w:rPr>
        <w:t>，男，43岁，中共党员，衡钢工程公司副经理（主持全面工作）。</w:t>
      </w:r>
      <w:r>
        <w:rPr>
          <w:rFonts w:hint="eastAsia" w:ascii="仿宋" w:hAnsi="仿宋" w:eastAsia="仿宋" w:cs="仿宋"/>
          <w:sz w:val="32"/>
          <w:lang w:eastAsia="zh-CN"/>
        </w:rPr>
        <w:t>其作为单位实际主要负责人，未严格</w:t>
      </w:r>
      <w:r>
        <w:rPr>
          <w:rFonts w:hint="eastAsia" w:ascii="仿宋" w:hAnsi="仿宋" w:eastAsia="仿宋" w:cs="仿宋"/>
          <w:sz w:val="32"/>
        </w:rPr>
        <w:t>落实安全风险分级管控和隐患排查治理双重预防工作机制，督促、检查本单位的安全生产工作</w:t>
      </w:r>
      <w:r>
        <w:rPr>
          <w:rFonts w:hint="eastAsia" w:ascii="仿宋" w:hAnsi="仿宋" w:eastAsia="仿宋" w:cs="仿宋"/>
          <w:sz w:val="32"/>
          <w:lang w:eastAsia="zh-CN"/>
        </w:rPr>
        <w:t>不力</w:t>
      </w:r>
      <w:r>
        <w:rPr>
          <w:rFonts w:hint="eastAsia" w:ascii="仿宋" w:hAnsi="仿宋" w:eastAsia="仿宋" w:cs="仿宋"/>
          <w:sz w:val="32"/>
        </w:rPr>
        <w:t>，</w:t>
      </w:r>
      <w:r>
        <w:rPr>
          <w:rFonts w:hint="eastAsia" w:ascii="仿宋" w:hAnsi="仿宋" w:eastAsia="仿宋" w:cs="仿宋"/>
          <w:sz w:val="32"/>
          <w:lang w:eastAsia="zh-CN"/>
        </w:rPr>
        <w:t>未</w:t>
      </w:r>
      <w:r>
        <w:rPr>
          <w:rFonts w:hint="eastAsia" w:ascii="仿宋" w:hAnsi="仿宋" w:eastAsia="仿宋" w:cs="仿宋"/>
          <w:sz w:val="32"/>
        </w:rPr>
        <w:t>及时</w:t>
      </w:r>
      <w:r>
        <w:rPr>
          <w:rFonts w:hint="eastAsia" w:ascii="仿宋" w:hAnsi="仿宋" w:eastAsia="仿宋" w:cs="仿宋"/>
          <w:sz w:val="32"/>
          <w:lang w:eastAsia="zh-CN"/>
        </w:rPr>
        <w:t>组织</w:t>
      </w:r>
      <w:r>
        <w:rPr>
          <w:rFonts w:hint="eastAsia" w:ascii="仿宋" w:hAnsi="仿宋" w:eastAsia="仿宋" w:cs="仿宋"/>
          <w:sz w:val="32"/>
        </w:rPr>
        <w:t>消除生产安全事故隐患</w:t>
      </w:r>
      <w:r>
        <w:rPr>
          <w:rFonts w:hint="eastAsia" w:ascii="仿宋" w:hAnsi="仿宋" w:eastAsia="仿宋" w:cs="仿宋"/>
          <w:sz w:val="32"/>
          <w:lang w:eastAsia="zh-CN"/>
        </w:rPr>
        <w:t>。</w:t>
      </w:r>
      <w:r>
        <w:rPr>
          <w:rFonts w:hint="eastAsia" w:ascii="仿宋" w:hAnsi="仿宋" w:eastAsia="仿宋" w:cs="仿宋"/>
          <w:sz w:val="32"/>
        </w:rPr>
        <w:t>对事故发生负有</w:t>
      </w:r>
      <w:r>
        <w:rPr>
          <w:rFonts w:hint="eastAsia" w:ascii="仿宋" w:hAnsi="仿宋" w:eastAsia="仿宋" w:cs="仿宋"/>
          <w:sz w:val="32"/>
          <w:lang w:eastAsia="zh-CN"/>
        </w:rPr>
        <w:t>主要负责人</w:t>
      </w:r>
      <w:r>
        <w:rPr>
          <w:rFonts w:hint="eastAsia" w:ascii="仿宋" w:hAnsi="仿宋" w:eastAsia="仿宋" w:cs="仿宋"/>
          <w:sz w:val="32"/>
        </w:rPr>
        <w:t>责任</w:t>
      </w:r>
      <w:r>
        <w:rPr>
          <w:rFonts w:hint="eastAsia" w:ascii="仿宋" w:hAnsi="仿宋" w:eastAsia="仿宋" w:cs="仿宋"/>
          <w:sz w:val="32"/>
          <w:lang w:eastAsia="zh-CN"/>
        </w:rPr>
        <w:t>，</w:t>
      </w:r>
      <w:r>
        <w:rPr>
          <w:rFonts w:hint="eastAsia" w:ascii="仿宋" w:hAnsi="仿宋" w:eastAsia="仿宋" w:cs="仿宋"/>
          <w:sz w:val="32"/>
          <w:rtl w:val="0"/>
          <w:lang w:val="en-US" w:eastAsia="zh-CN"/>
        </w:rPr>
        <w:t>建议移交衡钢公司纪委对其予以追责</w:t>
      </w:r>
      <w:r>
        <w:rPr>
          <w:rFonts w:hint="eastAsia" w:ascii="仿宋" w:hAnsi="仿宋" w:eastAsia="仿宋" w:cs="仿宋"/>
          <w:sz w:val="32"/>
        </w:rPr>
        <w:t>。</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rPr>
      </w:pPr>
      <w:r>
        <w:rPr>
          <w:rFonts w:hint="eastAsia" w:ascii="仿宋" w:hAnsi="仿宋" w:eastAsia="仿宋" w:cs="仿宋"/>
          <w:sz w:val="32"/>
        </w:rPr>
        <w:t>2.</w:t>
      </w:r>
      <w:r>
        <w:rPr>
          <w:rFonts w:hint="eastAsia" w:ascii="仿宋" w:hAnsi="仿宋" w:eastAsia="仿宋" w:cs="仿宋"/>
          <w:sz w:val="32"/>
          <w:lang w:eastAsia="zh-CN"/>
        </w:rPr>
        <w:t>孟*</w:t>
      </w:r>
      <w:r>
        <w:rPr>
          <w:rFonts w:hint="eastAsia" w:ascii="仿宋" w:hAnsi="仿宋" w:eastAsia="仿宋" w:cs="仿宋"/>
          <w:sz w:val="32"/>
        </w:rPr>
        <w:t>，男，53岁，中共党员，衡钢工程公司主任工程师。对</w:t>
      </w:r>
      <w:r>
        <w:rPr>
          <w:rFonts w:hint="eastAsia" w:ascii="仿宋" w:hAnsi="仿宋" w:eastAsia="仿宋" w:cs="仿宋"/>
          <w:sz w:val="32"/>
          <w:lang w:eastAsia="zh-CN"/>
        </w:rPr>
        <w:t>施工方案把关不严，施工技术管理、组织安全技术交底和开展员工安全教育培训</w:t>
      </w:r>
      <w:r>
        <w:rPr>
          <w:rFonts w:hint="eastAsia" w:ascii="仿宋" w:hAnsi="仿宋" w:eastAsia="仿宋" w:cs="仿宋"/>
          <w:sz w:val="32"/>
        </w:rPr>
        <w:t>不</w:t>
      </w:r>
      <w:r>
        <w:rPr>
          <w:rFonts w:hint="eastAsia" w:ascii="仿宋" w:hAnsi="仿宋" w:eastAsia="仿宋" w:cs="仿宋"/>
          <w:sz w:val="32"/>
          <w:lang w:eastAsia="zh-CN"/>
        </w:rPr>
        <w:t>到位。</w:t>
      </w:r>
      <w:r>
        <w:rPr>
          <w:rFonts w:hint="eastAsia" w:ascii="仿宋" w:hAnsi="仿宋" w:eastAsia="仿宋" w:cs="仿宋"/>
          <w:sz w:val="32"/>
        </w:rPr>
        <w:t>对此次事故发生负有</w:t>
      </w:r>
      <w:r>
        <w:rPr>
          <w:rFonts w:hint="eastAsia" w:ascii="仿宋" w:hAnsi="仿宋" w:eastAsia="仿宋" w:cs="仿宋"/>
          <w:sz w:val="32"/>
          <w:lang w:eastAsia="zh-CN"/>
        </w:rPr>
        <w:t>重要</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tl w:val="0"/>
          <w:lang w:val="en-US" w:eastAsia="zh-CN"/>
        </w:rPr>
        <w:t>建议移交衡钢公司纪委对其予以追责</w:t>
      </w:r>
      <w:r>
        <w:rPr>
          <w:rFonts w:hint="eastAsia" w:ascii="仿宋" w:hAnsi="仿宋" w:eastAsia="仿宋" w:cs="仿宋"/>
          <w:sz w:val="32"/>
        </w:rPr>
        <w:t>。</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default" w:ascii="仿宋" w:hAnsi="仿宋" w:eastAsia="仿宋" w:cs="仿宋"/>
          <w:sz w:val="32"/>
          <w:lang w:val="en-US" w:eastAsia="zh-CN"/>
        </w:rPr>
      </w:pPr>
      <w:r>
        <w:rPr>
          <w:rFonts w:hint="eastAsia" w:ascii="楷体" w:hAnsi="楷体" w:eastAsia="楷体" w:cs="楷体"/>
          <w:color w:val="auto"/>
          <w:sz w:val="32"/>
          <w:szCs w:val="32"/>
          <w:lang w:val="en-US" w:eastAsia="zh-CN"/>
        </w:rPr>
        <w:t>3.</w:t>
      </w:r>
      <w:r>
        <w:rPr>
          <w:rFonts w:hint="eastAsia" w:ascii="仿宋" w:hAnsi="仿宋" w:eastAsia="仿宋" w:cs="仿宋"/>
          <w:sz w:val="32"/>
          <w:lang w:val="en-US" w:eastAsia="zh-CN"/>
        </w:rPr>
        <w:t>贺*，男，38</w:t>
      </w:r>
      <w:r>
        <w:rPr>
          <w:rFonts w:hint="eastAsia" w:ascii="仿宋" w:hAnsi="仿宋" w:eastAsia="仿宋" w:cs="仿宋"/>
          <w:sz w:val="32"/>
        </w:rPr>
        <w:t>岁，</w:t>
      </w:r>
      <w:r>
        <w:rPr>
          <w:rFonts w:hint="eastAsia" w:ascii="仿宋" w:hAnsi="仿宋" w:eastAsia="仿宋" w:cs="仿宋"/>
          <w:sz w:val="32"/>
          <w:lang w:eastAsia="zh-CN"/>
        </w:rPr>
        <w:t>中共党员，</w:t>
      </w:r>
      <w:r>
        <w:rPr>
          <w:rFonts w:hint="eastAsia" w:ascii="仿宋" w:hAnsi="仿宋" w:eastAsia="仿宋" w:cs="仿宋"/>
          <w:sz w:val="32"/>
        </w:rPr>
        <w:t>衡钢公司</w:t>
      </w:r>
      <w:r>
        <w:rPr>
          <w:rFonts w:hint="eastAsia" w:ascii="仿宋" w:hAnsi="仿宋" w:eastAsia="仿宋" w:cs="仿宋"/>
          <w:sz w:val="32"/>
          <w:lang w:eastAsia="zh-CN"/>
        </w:rPr>
        <w:t>设备工程部部长，主管设备运行、维修及技改项目管理等工作。设备维修管理不严，未严格督促检修项目计划审核把关，涉事项目计划表</w:t>
      </w:r>
      <w:r>
        <w:rPr>
          <w:rFonts w:hint="eastAsia" w:ascii="仿宋" w:hAnsi="仿宋" w:eastAsia="仿宋" w:cs="仿宋"/>
          <w:sz w:val="32"/>
          <w:lang w:val="en-US" w:eastAsia="zh-CN"/>
        </w:rPr>
        <w:t>未将刚性支撑材料列入计划；项目施工现场督促管理不到位，未严格督促组织开展</w:t>
      </w:r>
      <w:r>
        <w:rPr>
          <w:rFonts w:hint="eastAsia" w:ascii="仿宋" w:hAnsi="仿宋" w:eastAsia="仿宋" w:cs="仿宋"/>
          <w:sz w:val="32"/>
          <w:lang w:eastAsia="zh-CN"/>
        </w:rPr>
        <w:t>安全技术交底和现场安全确认。</w:t>
      </w:r>
      <w:r>
        <w:rPr>
          <w:rFonts w:hint="eastAsia" w:ascii="仿宋" w:hAnsi="仿宋" w:eastAsia="仿宋" w:cs="仿宋"/>
          <w:sz w:val="32"/>
        </w:rPr>
        <w:t>对事故发生负有</w:t>
      </w:r>
      <w:r>
        <w:rPr>
          <w:rFonts w:hint="eastAsia" w:ascii="仿宋" w:hAnsi="仿宋" w:eastAsia="仿宋" w:cs="仿宋"/>
          <w:sz w:val="32"/>
          <w:lang w:eastAsia="zh-CN"/>
        </w:rPr>
        <w:t>重要</w:t>
      </w:r>
      <w:r>
        <w:rPr>
          <w:rFonts w:hint="eastAsia" w:ascii="仿宋" w:hAnsi="仿宋" w:eastAsia="仿宋" w:cs="仿宋"/>
          <w:sz w:val="32"/>
        </w:rPr>
        <w:t>管理责任</w:t>
      </w:r>
      <w:r>
        <w:rPr>
          <w:rFonts w:hint="eastAsia" w:ascii="仿宋" w:hAnsi="仿宋" w:eastAsia="仿宋" w:cs="仿宋"/>
          <w:sz w:val="32"/>
          <w:lang w:eastAsia="zh-CN"/>
        </w:rPr>
        <w:t>，</w:t>
      </w:r>
      <w:r>
        <w:rPr>
          <w:rFonts w:hint="eastAsia" w:ascii="仿宋" w:hAnsi="仿宋" w:eastAsia="仿宋" w:cs="仿宋"/>
          <w:sz w:val="32"/>
          <w:rtl w:val="0"/>
          <w:lang w:val="en-US" w:eastAsia="zh-CN"/>
        </w:rPr>
        <w:t>建议移交衡钢公司纪委对其予以追责</w:t>
      </w:r>
      <w:r>
        <w:rPr>
          <w:rFonts w:hint="eastAsia" w:ascii="仿宋" w:hAnsi="仿宋" w:eastAsia="仿宋" w:cs="仿宋"/>
          <w:sz w:val="32"/>
        </w:rPr>
        <w:t>。</w:t>
      </w:r>
    </w:p>
    <w:p>
      <w:pPr>
        <w:keepNext w:val="0"/>
        <w:keepLines w:val="0"/>
        <w:pageBreakBefore w:val="0"/>
        <w:kinsoku/>
        <w:wordWrap/>
        <w:overflowPunct/>
        <w:topLinePunct w:val="0"/>
        <w:autoSpaceDE/>
        <w:autoSpaceDN/>
        <w:bidi w:val="0"/>
        <w:adjustRightInd/>
        <w:snapToGrid/>
        <w:spacing w:line="576" w:lineRule="exact"/>
        <w:ind w:firstLine="640" w:firstLineChars="200"/>
        <w:textAlignment w:val="auto"/>
        <w:rPr>
          <w:rFonts w:hint="eastAsia" w:ascii="楷体" w:hAnsi="楷体" w:eastAsia="楷体" w:cs="楷体"/>
          <w:color w:val="auto"/>
          <w:sz w:val="32"/>
          <w:szCs w:val="32"/>
          <w:lang w:val="en-US" w:eastAsia="zh-CN"/>
        </w:rPr>
      </w:pPr>
      <w:r>
        <w:rPr>
          <w:rFonts w:hint="eastAsia" w:ascii="楷体" w:hAnsi="楷体" w:eastAsia="楷体" w:cs="楷体"/>
          <w:color w:val="auto"/>
          <w:sz w:val="32"/>
          <w:szCs w:val="32"/>
          <w:lang w:val="en-US" w:eastAsia="zh-CN"/>
        </w:rPr>
        <w:t>（五）建议予以行政处罚的单位</w:t>
      </w:r>
      <w:bookmarkEnd w:id="18"/>
      <w:r>
        <w:rPr>
          <w:rFonts w:hint="eastAsia" w:ascii="楷体" w:hAnsi="楷体" w:eastAsia="楷体" w:cs="楷体"/>
          <w:color w:val="auto"/>
          <w:sz w:val="32"/>
          <w:szCs w:val="32"/>
          <w:lang w:val="en-US" w:eastAsia="zh-CN"/>
        </w:rPr>
        <w:t>（1家）。</w:t>
      </w:r>
    </w:p>
    <w:p>
      <w:pPr>
        <w:keepNext w:val="0"/>
        <w:keepLines w:val="0"/>
        <w:pageBreakBefore w:val="0"/>
        <w:kinsoku/>
        <w:wordWrap/>
        <w:overflowPunct/>
        <w:topLinePunct w:val="0"/>
        <w:autoSpaceDE/>
        <w:autoSpaceDN/>
        <w:bidi w:val="0"/>
        <w:adjustRightInd/>
        <w:snapToGrid/>
        <w:spacing w:line="576" w:lineRule="exact"/>
        <w:ind w:firstLine="642" w:firstLineChars="200"/>
        <w:textAlignment w:val="auto"/>
        <w:rPr>
          <w:rFonts w:hint="eastAsia" w:ascii="仿宋" w:hAnsi="仿宋" w:eastAsia="仿宋" w:cs="仿宋"/>
          <w:sz w:val="32"/>
          <w:lang w:val="en-US" w:eastAsia="zh-CN"/>
        </w:rPr>
      </w:pPr>
      <w:r>
        <w:rPr>
          <w:rFonts w:hint="eastAsia" w:ascii="Times New Roman" w:hAnsi="Times New Roman" w:eastAsia="仿宋_GB2312" w:cs="Times New Roman"/>
          <w:b/>
          <w:bCs/>
          <w:sz w:val="32"/>
          <w:szCs w:val="32"/>
          <w:lang w:val="en-US" w:eastAsia="zh-CN"/>
        </w:rPr>
        <w:t>湖南衡钢工程建设有限公司</w:t>
      </w:r>
      <w:r>
        <w:rPr>
          <w:rFonts w:hint="eastAsia" w:eastAsia="仿宋_GB2312"/>
          <w:b/>
          <w:bCs/>
          <w:color w:val="000000"/>
          <w:kern w:val="0"/>
          <w:sz w:val="32"/>
          <w:szCs w:val="32"/>
        </w:rPr>
        <w:t>。</w:t>
      </w:r>
      <w:r>
        <w:rPr>
          <w:rFonts w:hint="eastAsia" w:ascii="仿宋" w:hAnsi="仿宋" w:eastAsia="仿宋" w:cs="仿宋"/>
          <w:sz w:val="32"/>
          <w:lang w:eastAsia="zh-CN"/>
        </w:rPr>
        <w:t>涉事项目工程施工单位，项目施工</w:t>
      </w:r>
      <w:r>
        <w:rPr>
          <w:rFonts w:hint="eastAsia" w:ascii="仿宋" w:hAnsi="仿宋" w:eastAsia="仿宋" w:cs="仿宋"/>
          <w:sz w:val="32"/>
        </w:rPr>
        <w:t>安全生产管理主体责任落实不到位，</w:t>
      </w:r>
      <w:r>
        <w:rPr>
          <w:rFonts w:hint="eastAsia" w:ascii="仿宋" w:hAnsi="仿宋" w:eastAsia="仿宋" w:cs="仿宋"/>
          <w:sz w:val="32"/>
          <w:lang w:eastAsia="zh-CN"/>
        </w:rPr>
        <w:t>未严格加强施工安全技术管理和现场安全管理</w:t>
      </w:r>
      <w:r>
        <w:rPr>
          <w:rFonts w:hint="eastAsia" w:ascii="仿宋" w:hAnsi="仿宋" w:eastAsia="仿宋" w:cs="仿宋"/>
          <w:sz w:val="32"/>
          <w:lang w:val="en-US" w:eastAsia="zh-CN"/>
        </w:rPr>
        <w:t>，</w:t>
      </w:r>
      <w:r>
        <w:rPr>
          <w:rFonts w:hint="eastAsia" w:ascii="仿宋" w:hAnsi="仿宋" w:eastAsia="仿宋" w:cs="仿宋"/>
          <w:sz w:val="32"/>
          <w:lang w:eastAsia="zh-CN"/>
        </w:rPr>
        <w:t>未严格开展</w:t>
      </w:r>
      <w:r>
        <w:rPr>
          <w:rFonts w:hint="eastAsia" w:ascii="仿宋" w:hAnsi="仿宋" w:eastAsia="仿宋" w:cs="仿宋"/>
          <w:sz w:val="32"/>
        </w:rPr>
        <w:t>安全风险</w:t>
      </w:r>
      <w:r>
        <w:rPr>
          <w:rFonts w:hint="eastAsia" w:ascii="仿宋" w:hAnsi="仿宋" w:eastAsia="仿宋" w:cs="仿宋"/>
          <w:sz w:val="32"/>
          <w:lang w:eastAsia="zh-CN"/>
        </w:rPr>
        <w:t>辨识并</w:t>
      </w:r>
      <w:r>
        <w:rPr>
          <w:rFonts w:hint="eastAsia" w:ascii="仿宋" w:hAnsi="仿宋" w:eastAsia="仿宋" w:cs="仿宋"/>
          <w:sz w:val="32"/>
        </w:rPr>
        <w:t>采取相应的</w:t>
      </w:r>
      <w:r>
        <w:rPr>
          <w:rFonts w:hint="eastAsia" w:ascii="仿宋" w:hAnsi="仿宋" w:eastAsia="仿宋" w:cs="仿宋"/>
          <w:sz w:val="32"/>
          <w:lang w:eastAsia="zh-CN"/>
        </w:rPr>
        <w:t>安全</w:t>
      </w:r>
      <w:r>
        <w:rPr>
          <w:rFonts w:hint="eastAsia" w:ascii="仿宋" w:hAnsi="仿宋" w:eastAsia="仿宋" w:cs="仿宋"/>
          <w:sz w:val="32"/>
        </w:rPr>
        <w:t>管控措施</w:t>
      </w:r>
      <w:r>
        <w:rPr>
          <w:rFonts w:hint="eastAsia" w:ascii="仿宋" w:hAnsi="仿宋" w:eastAsia="仿宋" w:cs="仿宋"/>
          <w:sz w:val="32"/>
          <w:lang w:eastAsia="zh-CN"/>
        </w:rPr>
        <w:t>，开展安全</w:t>
      </w:r>
      <w:r>
        <w:rPr>
          <w:rFonts w:hint="eastAsia" w:ascii="仿宋" w:hAnsi="仿宋" w:eastAsia="仿宋" w:cs="仿宋"/>
          <w:sz w:val="32"/>
          <w:lang w:val="en-US" w:eastAsia="zh-CN"/>
        </w:rPr>
        <w:t>教育培训不到位</w:t>
      </w:r>
      <w:r>
        <w:rPr>
          <w:rFonts w:hint="eastAsia" w:ascii="仿宋" w:hAnsi="仿宋" w:eastAsia="仿宋" w:cs="仿宋"/>
          <w:sz w:val="32"/>
        </w:rPr>
        <w:t>。</w:t>
      </w:r>
      <w:r>
        <w:rPr>
          <w:rFonts w:hint="eastAsia" w:ascii="仿宋" w:hAnsi="仿宋" w:eastAsia="仿宋" w:cs="仿宋"/>
          <w:sz w:val="32"/>
          <w:lang w:eastAsia="zh-CN"/>
        </w:rPr>
        <w:t>对事故的发生负有责任，</w:t>
      </w:r>
      <w:r>
        <w:rPr>
          <w:rFonts w:hint="eastAsia" w:ascii="仿宋" w:hAnsi="仿宋" w:eastAsia="仿宋" w:cs="仿宋"/>
          <w:sz w:val="32"/>
        </w:rPr>
        <w:t>建议由衡阳市应急管理局依据《中华人民共和国安全生产法》</w:t>
      </w:r>
      <w:r>
        <w:rPr>
          <w:rFonts w:hint="eastAsia" w:ascii="仿宋" w:hAnsi="仿宋" w:eastAsia="仿宋" w:cs="仿宋"/>
          <w:sz w:val="32"/>
          <w:lang w:eastAsia="zh-CN"/>
        </w:rPr>
        <w:t>相关</w:t>
      </w:r>
      <w:r>
        <w:rPr>
          <w:rFonts w:hint="eastAsia" w:ascii="仿宋" w:hAnsi="仿宋" w:eastAsia="仿宋" w:cs="仿宋"/>
          <w:sz w:val="32"/>
        </w:rPr>
        <w:t>规定，对其</w:t>
      </w:r>
      <w:r>
        <w:rPr>
          <w:rFonts w:hint="eastAsia" w:ascii="仿宋" w:hAnsi="仿宋" w:eastAsia="仿宋" w:cs="仿宋"/>
          <w:sz w:val="32"/>
          <w:lang w:eastAsia="zh-CN"/>
        </w:rPr>
        <w:t>予以</w:t>
      </w:r>
      <w:r>
        <w:rPr>
          <w:rFonts w:hint="eastAsia" w:ascii="仿宋" w:hAnsi="仿宋" w:eastAsia="仿宋" w:cs="仿宋"/>
          <w:sz w:val="32"/>
        </w:rPr>
        <w:t>行政处罚。</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bookmarkStart w:id="19" w:name="_Toc792609224_WPSOffice_Level1"/>
      <w:r>
        <w:rPr>
          <w:rFonts w:hint="eastAsia" w:eastAsia="黑体"/>
          <w:bCs/>
          <w:color w:val="000000"/>
          <w:kern w:val="0"/>
          <w:sz w:val="32"/>
          <w:szCs w:val="32"/>
          <w:lang w:eastAsia="zh-CN"/>
        </w:rPr>
        <w:t>七</w:t>
      </w:r>
      <w:r>
        <w:rPr>
          <w:rFonts w:hint="eastAsia" w:eastAsia="黑体"/>
          <w:bCs/>
          <w:color w:val="000000"/>
          <w:kern w:val="0"/>
          <w:sz w:val="32"/>
          <w:szCs w:val="32"/>
        </w:rPr>
        <w:t>、</w:t>
      </w:r>
      <w:r>
        <w:rPr>
          <w:rFonts w:eastAsia="黑体"/>
          <w:bCs/>
          <w:color w:val="000000"/>
          <w:kern w:val="0"/>
          <w:sz w:val="32"/>
          <w:szCs w:val="32"/>
        </w:rPr>
        <w:t>事故防范和整改措施</w:t>
      </w:r>
      <w:bookmarkEnd w:id="19"/>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一）要加强企业安全生产主体责任落实。事故相关单位要深刻吸取事故教训，举一反三，认真贯彻落实习近平总书记关于安全生产的一系列重要指示精神，牢固树立“安全第一，生命至上”的红线意识，认真履行安全生产主体责任，建立健全安全生产管理制度、操作规程，完善安全生产责任体系，扎实落实安全生产“五到位”规定，强化安全责任到岗到人，深入开展“反三违”等专项整治，杜绝“三违”现象，保障安全生产。</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二）要加强从业人员安全教育培训。要根据本单位安全生产状况、岗位特点、人员结构组成，有针对性地开展安全生产教育和培训工作，开展经常性的安全警示教育，增强培训效果和提高培训质量，提高从业人员的安全意识和危险性辨识能力，提高职工的自保互保能力。</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三）进一步强化风险辨识与管控。事故相关单位要从严落实全员安全生产责任制，构建完善的安全风险分级管控和隐患排查治理双重预防体系，健全风险防范化解机制，提高企业安全生产本质水平。加强对存在重大安全隐患的施工环节和部位的风险辨识与重点管控，对有可能发生的事故风险进行预判，制定相应的风险管控措施，确保作业前防护措施到位再作业，防患于未然。</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（四）切实加强项目施工安全管理。加强项目施工的协调统一管理，严格项目计划和安全作业的审批，进一步完善施工方案；督促落实施工</w:t>
      </w:r>
      <w:r>
        <w:rPr>
          <w:rFonts w:hint="eastAsia" w:ascii="仿宋" w:hAnsi="仿宋" w:eastAsia="仿宋" w:cs="仿宋"/>
          <w:sz w:val="32"/>
          <w:lang w:val="en-US" w:eastAsia="zh-CN"/>
        </w:rPr>
        <w:t>安全管理制度，切实落实安全技术交底、安全确认和施工安全监护等各项管理制度，加大事故隐患的排查和整治力度，</w:t>
      </w:r>
      <w:r>
        <w:rPr>
          <w:rFonts w:hint="eastAsia" w:ascii="仿宋" w:hAnsi="仿宋" w:eastAsia="仿宋" w:cs="仿宋"/>
          <w:sz w:val="32"/>
          <w:lang w:eastAsia="zh-CN"/>
        </w:rPr>
        <w:t>及时发现并消除事故隐患，确保施工作业安全。</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有关单位应当自接到事故调查报告及批复的</w:t>
      </w:r>
      <w:r>
        <w:rPr>
          <w:rFonts w:hint="eastAsia" w:ascii="仿宋" w:hAnsi="仿宋" w:eastAsia="仿宋" w:cs="仿宋"/>
          <w:sz w:val="32"/>
          <w:lang w:val="en-US" w:eastAsia="zh-CN"/>
        </w:rPr>
        <w:t>60日</w:t>
      </w:r>
      <w:r>
        <w:rPr>
          <w:rFonts w:hint="eastAsia" w:ascii="仿宋" w:hAnsi="仿宋" w:eastAsia="仿宋" w:cs="仿宋"/>
          <w:sz w:val="32"/>
          <w:lang w:eastAsia="zh-CN"/>
        </w:rPr>
        <w:t>内，将有关责任人员处理、事故防范和整改措施的落实情况书面报送衡阳市应急管理局。</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bookmarkStart w:id="20" w:name="_Toc1913952228_WPSOffice_Level1"/>
      <w:bookmarkStart w:id="21" w:name="_Toc439660012_WPSOffice_Level1"/>
      <w:bookmarkStart w:id="22" w:name="_Toc1949454453_WPSOffice_Level1"/>
      <w:bookmarkStart w:id="23" w:name="_Toc892494990_WPSOffice_Level1"/>
      <w:bookmarkStart w:id="24" w:name="_Toc657868477_WPSOffice_Level1"/>
      <w:bookmarkStart w:id="25" w:name="_Toc1209868733_WPSOffice_Level1"/>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附件：1.事故伤亡人员基本情况表</w:t>
      </w:r>
      <w:bookmarkEnd w:id="20"/>
      <w:bookmarkEnd w:id="21"/>
      <w:bookmarkEnd w:id="22"/>
      <w:bookmarkEnd w:id="23"/>
      <w:bookmarkEnd w:id="24"/>
      <w:bookmarkEnd w:id="25"/>
    </w:p>
    <w:p>
      <w:pPr>
        <w:keepNext w:val="0"/>
        <w:keepLines w:val="0"/>
        <w:pageBreakBefore w:val="0"/>
        <w:widowControl w:val="0"/>
        <w:kinsoku/>
        <w:wordWrap/>
        <w:overflowPunct/>
        <w:topLinePunct w:val="0"/>
        <w:autoSpaceDE/>
        <w:autoSpaceDN/>
        <w:bidi w:val="0"/>
        <w:adjustRightInd/>
        <w:snapToGrid/>
        <w:spacing w:line="576" w:lineRule="exact"/>
        <w:ind w:firstLine="1580" w:firstLineChars="494"/>
        <w:jc w:val="left"/>
        <w:textAlignment w:val="auto"/>
        <w:rPr>
          <w:rFonts w:hint="eastAsia" w:ascii="仿宋" w:hAnsi="仿宋" w:eastAsia="仿宋" w:cs="仿宋"/>
          <w:sz w:val="32"/>
          <w:lang w:eastAsia="zh-CN"/>
        </w:rPr>
      </w:pPr>
      <w:bookmarkStart w:id="26" w:name="_Toc1368071643_WPSOffice_Level1"/>
      <w:bookmarkStart w:id="27" w:name="_Toc480402112_WPSOffice_Level1"/>
      <w:bookmarkStart w:id="28" w:name="_Toc391941622_WPSOffice_Level1"/>
      <w:bookmarkStart w:id="29" w:name="_Toc1009104675_WPSOffice_Level1"/>
      <w:r>
        <w:rPr>
          <w:rFonts w:hint="eastAsia" w:ascii="仿宋" w:hAnsi="仿宋" w:eastAsia="仿宋" w:cs="仿宋"/>
          <w:sz w:val="32"/>
          <w:lang w:eastAsia="zh-CN"/>
        </w:rPr>
        <w:t>2.事故直接经济损失表</w:t>
      </w:r>
      <w:bookmarkEnd w:id="26"/>
      <w:bookmarkEnd w:id="27"/>
      <w:bookmarkEnd w:id="28"/>
      <w:bookmarkEnd w:id="29"/>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 xml:space="preserve">               </w:t>
      </w:r>
    </w:p>
    <w:p>
      <w:pPr>
        <w:pStyle w:val="2"/>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val="en-US" w:eastAsia="zh-CN"/>
        </w:rPr>
        <w:t xml:space="preserve">              </w:t>
      </w:r>
      <w:bookmarkStart w:id="30" w:name="_Toc510930899_WPSOffice_Level1"/>
      <w:r>
        <w:rPr>
          <w:rFonts w:hint="eastAsia" w:ascii="仿宋" w:hAnsi="仿宋" w:eastAsia="仿宋" w:cs="仿宋"/>
          <w:sz w:val="32"/>
          <w:lang w:eastAsia="zh-CN"/>
        </w:rPr>
        <w:t>湖南衡阳钢管（集团）有限公司</w:t>
      </w:r>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 xml:space="preserve">               </w:t>
      </w:r>
      <w:r>
        <w:rPr>
          <w:rFonts w:hint="eastAsia" w:ascii="仿宋" w:hAnsi="仿宋" w:eastAsia="仿宋" w:cs="仿宋"/>
          <w:sz w:val="32"/>
          <w:lang w:eastAsia="zh-CN"/>
        </w:rPr>
        <w:t>“11·1”一般火灾事故调查</w:t>
      </w:r>
      <w:r>
        <w:rPr>
          <w:rFonts w:hint="eastAsia" w:ascii="仿宋" w:hAnsi="仿宋" w:eastAsia="仿宋" w:cs="仿宋"/>
          <w:sz w:val="32"/>
          <w:lang w:val="en-US" w:eastAsia="zh-CN"/>
        </w:rPr>
        <w:t>组</w:t>
      </w:r>
      <w:bookmarkEnd w:id="30"/>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 xml:space="preserve">                </w:t>
      </w:r>
      <w:bookmarkStart w:id="31" w:name="_Toc610093573_WPSOffice_Level1"/>
      <w:r>
        <w:rPr>
          <w:rFonts w:hint="eastAsia" w:ascii="仿宋" w:hAnsi="仿宋" w:eastAsia="仿宋" w:cs="仿宋"/>
          <w:sz w:val="32"/>
          <w:lang w:val="en-US" w:eastAsia="zh-CN"/>
        </w:rPr>
        <w:t>（衡阳市应急管理局代公章）</w:t>
      </w:r>
      <w:bookmarkEnd w:id="31"/>
    </w:p>
    <w:p>
      <w:pPr>
        <w:keepNext w:val="0"/>
        <w:keepLines w:val="0"/>
        <w:pageBreakBefore w:val="0"/>
        <w:widowControl w:val="0"/>
        <w:kinsoku/>
        <w:wordWrap/>
        <w:overflowPunct/>
        <w:topLinePunct w:val="0"/>
        <w:autoSpaceDE/>
        <w:autoSpaceDN/>
        <w:bidi w:val="0"/>
        <w:adjustRightInd/>
        <w:snapToGrid/>
        <w:spacing w:line="576" w:lineRule="exact"/>
        <w:ind w:firstLine="618"/>
        <w:jc w:val="left"/>
        <w:textAlignment w:val="auto"/>
        <w:rPr>
          <w:rFonts w:hint="eastAsia" w:ascii="仿宋" w:hAnsi="仿宋" w:eastAsia="仿宋" w:cs="仿宋"/>
          <w:sz w:val="32"/>
          <w:lang w:eastAsia="zh-CN"/>
        </w:rPr>
      </w:pPr>
      <w:r>
        <w:rPr>
          <w:rFonts w:hint="eastAsia" w:ascii="仿宋" w:hAnsi="仿宋" w:eastAsia="仿宋" w:cs="仿宋"/>
          <w:sz w:val="32"/>
          <w:lang w:eastAsia="zh-CN"/>
        </w:rPr>
        <w:t xml:space="preserve">                    </w:t>
      </w:r>
      <w:r>
        <w:rPr>
          <w:rFonts w:hint="eastAsia" w:ascii="仿宋" w:hAnsi="仿宋" w:eastAsia="仿宋" w:cs="仿宋"/>
          <w:sz w:val="32"/>
          <w:lang w:val="en-US" w:eastAsia="zh-CN"/>
        </w:rPr>
        <w:t xml:space="preserve">  </w:t>
      </w:r>
      <w:r>
        <w:rPr>
          <w:rFonts w:hint="eastAsia" w:ascii="仿宋" w:hAnsi="仿宋" w:eastAsia="仿宋" w:cs="仿宋"/>
          <w:sz w:val="32"/>
          <w:lang w:eastAsia="zh-CN"/>
        </w:rPr>
        <w:t xml:space="preserve"> 202</w:t>
      </w:r>
      <w:r>
        <w:rPr>
          <w:rFonts w:hint="eastAsia" w:ascii="仿宋" w:hAnsi="仿宋" w:eastAsia="仿宋" w:cs="仿宋"/>
          <w:sz w:val="32"/>
          <w:lang w:val="en-US" w:eastAsia="zh-CN"/>
        </w:rPr>
        <w:t>4</w:t>
      </w:r>
      <w:r>
        <w:rPr>
          <w:rFonts w:hint="eastAsia" w:ascii="仿宋" w:hAnsi="仿宋" w:eastAsia="仿宋" w:cs="仿宋"/>
          <w:sz w:val="32"/>
          <w:lang w:eastAsia="zh-CN"/>
        </w:rPr>
        <w:t>年</w:t>
      </w:r>
      <w:r>
        <w:rPr>
          <w:rFonts w:hint="eastAsia" w:ascii="仿宋" w:hAnsi="仿宋" w:eastAsia="仿宋" w:cs="仿宋"/>
          <w:sz w:val="32"/>
          <w:lang w:val="en-US" w:eastAsia="zh-CN"/>
        </w:rPr>
        <w:t>12</w:t>
      </w:r>
      <w:r>
        <w:rPr>
          <w:rFonts w:hint="eastAsia" w:ascii="仿宋" w:hAnsi="仿宋" w:eastAsia="仿宋" w:cs="仿宋"/>
          <w:sz w:val="32"/>
          <w:lang w:eastAsia="zh-CN"/>
        </w:rPr>
        <w:t>月</w:t>
      </w:r>
      <w:r>
        <w:rPr>
          <w:rFonts w:hint="eastAsia" w:ascii="仿宋" w:hAnsi="仿宋" w:eastAsia="仿宋" w:cs="仿宋"/>
          <w:sz w:val="32"/>
          <w:lang w:val="en-US" w:eastAsia="zh-CN"/>
        </w:rPr>
        <w:t>24</w:t>
      </w:r>
      <w:r>
        <w:rPr>
          <w:rFonts w:hint="eastAsia" w:ascii="仿宋" w:hAnsi="仿宋" w:eastAsia="仿宋" w:cs="仿宋"/>
          <w:sz w:val="32"/>
          <w:lang w:eastAsia="zh-CN"/>
        </w:rPr>
        <w:t>日</w:t>
      </w:r>
    </w:p>
    <w:p>
      <w:pPr>
        <w:rPr>
          <w:rFonts w:hint="eastAsia" w:ascii="仿宋_GB2312" w:hAnsi="仿宋_GB2312" w:eastAsia="仿宋_GB2312" w:cs="仿宋_GB2312"/>
          <w:sz w:val="32"/>
          <w:szCs w:val="32"/>
          <w:lang w:val="en-US" w:eastAsia="zh-CN"/>
        </w:rPr>
      </w:pPr>
      <w:bookmarkStart w:id="32" w:name="_Toc419460574_WPSOffice_Level1"/>
      <w:r>
        <w:rPr>
          <w:rFonts w:hint="eastAsia" w:ascii="仿宋_GB2312" w:hAnsi="仿宋_GB2312" w:eastAsia="仿宋_GB2312" w:cs="仿宋_GB2312"/>
          <w:sz w:val="32"/>
          <w:szCs w:val="32"/>
          <w:lang w:val="en-US" w:eastAsia="zh-CN"/>
        </w:rPr>
        <w:br w:type="page"/>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附件一</w:t>
      </w:r>
      <w:bookmarkEnd w:id="32"/>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仿宋"/>
          <w:sz w:val="32"/>
          <w:szCs w:val="30"/>
        </w:rPr>
      </w:pPr>
      <w:bookmarkStart w:id="33" w:name="_Toc97191738_WPSOffice_Level1"/>
      <w:bookmarkStart w:id="34" w:name="_Toc1817100303_WPSOffice_Level1"/>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仿宋"/>
          <w:sz w:val="32"/>
          <w:szCs w:val="30"/>
        </w:rPr>
      </w:pPr>
      <w:r>
        <w:rPr>
          <w:rFonts w:hint="eastAsia" w:eastAsia="仿宋"/>
          <w:sz w:val="32"/>
          <w:szCs w:val="30"/>
        </w:rPr>
        <w:t>湖南衡阳钢管（集团）有限公司“11·1”一般火灾</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lang w:val="en-US" w:eastAsia="zh-CN"/>
        </w:rPr>
      </w:pPr>
      <w:r>
        <w:rPr>
          <w:rFonts w:hint="eastAsia" w:eastAsia="仿宋"/>
          <w:sz w:val="32"/>
          <w:szCs w:val="30"/>
        </w:rPr>
        <w:t>事故调查</w:t>
      </w:r>
      <w:r>
        <w:rPr>
          <w:rFonts w:hint="eastAsia" w:ascii="仿宋_GB2312" w:hAnsi="Calibri" w:eastAsia="仿宋_GB2312"/>
          <w:color w:val="auto"/>
          <w:sz w:val="32"/>
          <w:szCs w:val="52"/>
        </w:rPr>
        <w:t>伤</w:t>
      </w:r>
      <w:r>
        <w:rPr>
          <w:rFonts w:ascii="仿宋_GB2312" w:hAnsi="Calibri" w:eastAsia="仿宋_GB2312"/>
          <w:color w:val="auto"/>
          <w:sz w:val="32"/>
          <w:szCs w:val="52"/>
        </w:rPr>
        <w:t>亡人员</w:t>
      </w:r>
      <w:r>
        <w:rPr>
          <w:rFonts w:hint="eastAsia" w:ascii="仿宋_GB2312" w:hAnsi="Calibri" w:eastAsia="仿宋_GB2312"/>
          <w:color w:val="auto"/>
          <w:sz w:val="32"/>
          <w:szCs w:val="52"/>
        </w:rPr>
        <w:t>基本</w:t>
      </w:r>
      <w:r>
        <w:rPr>
          <w:rFonts w:ascii="仿宋_GB2312" w:hAnsi="Calibri" w:eastAsia="仿宋_GB2312"/>
          <w:color w:val="auto"/>
          <w:sz w:val="32"/>
          <w:szCs w:val="52"/>
        </w:rPr>
        <w:t>情况表</w:t>
      </w:r>
      <w:bookmarkEnd w:id="33"/>
      <w:bookmarkEnd w:id="34"/>
    </w:p>
    <w:tbl>
      <w:tblPr>
        <w:tblStyle w:val="8"/>
        <w:tblW w:w="8723"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1"/>
        <w:gridCol w:w="2429"/>
        <w:gridCol w:w="681"/>
        <w:gridCol w:w="683"/>
        <w:gridCol w:w="879"/>
        <w:gridCol w:w="1020"/>
        <w:gridCol w:w="1293"/>
        <w:gridCol w:w="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29" w:hRule="atLeast"/>
          <w:jc w:val="center"/>
        </w:trPr>
        <w:tc>
          <w:tcPr>
            <w:tcW w:w="1001"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姓 名</w:t>
            </w:r>
          </w:p>
        </w:tc>
        <w:tc>
          <w:tcPr>
            <w:tcW w:w="2429"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身份证号</w:t>
            </w:r>
          </w:p>
        </w:tc>
        <w:tc>
          <w:tcPr>
            <w:tcW w:w="681"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年龄</w:t>
            </w:r>
          </w:p>
        </w:tc>
        <w:tc>
          <w:tcPr>
            <w:tcW w:w="683"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性别</w:t>
            </w:r>
          </w:p>
        </w:tc>
        <w:tc>
          <w:tcPr>
            <w:tcW w:w="879"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文化</w:t>
            </w:r>
          </w:p>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程度</w:t>
            </w:r>
          </w:p>
        </w:tc>
        <w:tc>
          <w:tcPr>
            <w:tcW w:w="1020" w:type="dxa"/>
            <w:noWrap w:val="0"/>
            <w:vAlign w:val="center"/>
          </w:tcPr>
          <w:p>
            <w:pPr>
              <w:spacing w:line="0" w:lineRule="atLeast"/>
              <w:jc w:val="center"/>
              <w:rPr>
                <w:rFonts w:hint="eastAsia" w:ascii="黑体" w:hAnsi="黑体" w:eastAsia="黑体" w:cs="黑体"/>
                <w:color w:val="auto"/>
                <w:szCs w:val="21"/>
              </w:rPr>
            </w:pPr>
            <w:r>
              <w:rPr>
                <w:rFonts w:hint="eastAsia" w:ascii="黑体" w:hAnsi="黑体" w:eastAsia="黑体" w:cs="黑体"/>
                <w:color w:val="auto"/>
                <w:szCs w:val="21"/>
              </w:rPr>
              <w:t>工种</w:t>
            </w:r>
          </w:p>
          <w:p>
            <w:pPr>
              <w:spacing w:line="0" w:lineRule="atLeast"/>
              <w:jc w:val="center"/>
              <w:rPr>
                <w:rFonts w:hint="eastAsia" w:ascii="黑体" w:hAnsi="黑体" w:eastAsia="黑体" w:cs="黑体"/>
                <w:color w:val="auto"/>
                <w:sz w:val="24"/>
              </w:rPr>
            </w:pPr>
            <w:r>
              <w:rPr>
                <w:rFonts w:hint="eastAsia" w:ascii="黑体" w:hAnsi="黑体" w:eastAsia="黑体" w:cs="黑体"/>
                <w:color w:val="auto"/>
                <w:szCs w:val="21"/>
              </w:rPr>
              <w:t>（身份）</w:t>
            </w:r>
          </w:p>
        </w:tc>
        <w:tc>
          <w:tcPr>
            <w:tcW w:w="1293"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家庭住址</w:t>
            </w:r>
          </w:p>
        </w:tc>
        <w:tc>
          <w:tcPr>
            <w:tcW w:w="737" w:type="dxa"/>
            <w:noWrap w:val="0"/>
            <w:vAlign w:val="center"/>
          </w:tcPr>
          <w:p>
            <w:pPr>
              <w:spacing w:line="0" w:lineRule="atLeast"/>
              <w:jc w:val="center"/>
              <w:rPr>
                <w:rFonts w:hint="eastAsia" w:ascii="黑体" w:hAnsi="黑体" w:eastAsia="黑体" w:cs="黑体"/>
                <w:color w:val="auto"/>
                <w:sz w:val="24"/>
              </w:rPr>
            </w:pPr>
            <w:r>
              <w:rPr>
                <w:rFonts w:hint="eastAsia" w:ascii="黑体" w:hAnsi="黑体" w:eastAsia="黑体" w:cs="黑体"/>
                <w:color w:val="auto"/>
                <w:sz w:val="24"/>
              </w:rPr>
              <w:t>伤亡情况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972" w:hRule="atLeast"/>
          <w:jc w:val="center"/>
        </w:trPr>
        <w:tc>
          <w:tcPr>
            <w:tcW w:w="1001"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val="en-US" w:eastAsia="zh-CN"/>
              </w:rPr>
              <w:t>肖**</w:t>
            </w:r>
          </w:p>
        </w:tc>
        <w:tc>
          <w:tcPr>
            <w:tcW w:w="2429" w:type="dxa"/>
            <w:noWrap w:val="0"/>
            <w:vAlign w:val="center"/>
          </w:tcPr>
          <w:p>
            <w:pPr>
              <w:spacing w:line="0" w:lineRule="atLeast"/>
              <w:jc w:val="center"/>
              <w:rPr>
                <w:rFonts w:hint="default" w:eastAsia="仿宋"/>
                <w:color w:val="auto"/>
                <w:sz w:val="18"/>
                <w:szCs w:val="18"/>
                <w:lang w:val="en-US" w:eastAsia="zh-CN"/>
              </w:rPr>
            </w:pPr>
            <w:r>
              <w:rPr>
                <w:rFonts w:hint="eastAsia" w:eastAsia="仿宋"/>
                <w:color w:val="auto"/>
                <w:sz w:val="18"/>
                <w:szCs w:val="18"/>
                <w:lang w:val="en-US" w:eastAsia="zh-CN"/>
              </w:rPr>
              <w:t>43042219740809****</w:t>
            </w:r>
          </w:p>
        </w:tc>
        <w:tc>
          <w:tcPr>
            <w:tcW w:w="681"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val="en-US" w:eastAsia="zh-CN"/>
              </w:rPr>
              <w:t>50岁</w:t>
            </w:r>
          </w:p>
        </w:tc>
        <w:tc>
          <w:tcPr>
            <w:tcW w:w="683"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初中</w:t>
            </w:r>
          </w:p>
        </w:tc>
        <w:tc>
          <w:tcPr>
            <w:tcW w:w="1020"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val="en-US" w:eastAsia="zh-CN"/>
              </w:rPr>
              <w:t>作业班组长</w:t>
            </w:r>
          </w:p>
        </w:tc>
        <w:tc>
          <w:tcPr>
            <w:tcW w:w="1293"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val="en-US" w:eastAsia="zh-CN"/>
              </w:rPr>
              <w:t>衡南县三塘镇鳌兴村</w:t>
            </w:r>
          </w:p>
        </w:tc>
        <w:tc>
          <w:tcPr>
            <w:tcW w:w="737"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死亡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001"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谢**</w:t>
            </w:r>
          </w:p>
        </w:tc>
        <w:tc>
          <w:tcPr>
            <w:tcW w:w="2429" w:type="dxa"/>
            <w:noWrap w:val="0"/>
            <w:vAlign w:val="center"/>
          </w:tcPr>
          <w:p>
            <w:pPr>
              <w:spacing w:line="0" w:lineRule="atLeast"/>
              <w:jc w:val="center"/>
              <w:rPr>
                <w:rFonts w:hint="default" w:eastAsia="仿宋"/>
                <w:color w:val="auto"/>
                <w:sz w:val="18"/>
                <w:szCs w:val="18"/>
                <w:lang w:val="en-US" w:eastAsia="zh-CN"/>
              </w:rPr>
            </w:pPr>
            <w:r>
              <w:rPr>
                <w:rFonts w:hint="eastAsia" w:eastAsia="仿宋"/>
                <w:color w:val="auto"/>
                <w:sz w:val="18"/>
                <w:szCs w:val="18"/>
                <w:lang w:val="en-US" w:eastAsia="zh-CN"/>
              </w:rPr>
              <w:t>43042219890723****</w:t>
            </w:r>
          </w:p>
        </w:tc>
        <w:tc>
          <w:tcPr>
            <w:tcW w:w="681" w:type="dxa"/>
            <w:noWrap w:val="0"/>
            <w:vAlign w:val="center"/>
          </w:tcPr>
          <w:p>
            <w:pPr>
              <w:spacing w:line="0" w:lineRule="atLeast"/>
              <w:jc w:val="center"/>
              <w:rPr>
                <w:rFonts w:hint="default" w:eastAsia="仿宋"/>
                <w:color w:val="auto"/>
                <w:sz w:val="24"/>
                <w:lang w:val="en-US" w:eastAsia="zh-CN"/>
              </w:rPr>
            </w:pPr>
            <w:r>
              <w:rPr>
                <w:rFonts w:hint="eastAsia" w:eastAsia="仿宋"/>
                <w:color w:val="auto"/>
                <w:sz w:val="24"/>
                <w:lang w:val="en-US" w:eastAsia="zh-CN"/>
              </w:rPr>
              <w:t>36岁</w:t>
            </w:r>
          </w:p>
        </w:tc>
        <w:tc>
          <w:tcPr>
            <w:tcW w:w="683"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高中</w:t>
            </w:r>
          </w:p>
        </w:tc>
        <w:tc>
          <w:tcPr>
            <w:tcW w:w="1020"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当班</w:t>
            </w:r>
            <w:r>
              <w:rPr>
                <w:rFonts w:hint="eastAsia" w:eastAsia="仿宋"/>
                <w:color w:val="auto"/>
                <w:sz w:val="24"/>
                <w:lang w:val="en-US" w:eastAsia="zh-CN"/>
              </w:rPr>
              <w:t>焊接与热切割工</w:t>
            </w:r>
          </w:p>
        </w:tc>
        <w:tc>
          <w:tcPr>
            <w:tcW w:w="1293"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val="en-US" w:eastAsia="zh-CN"/>
              </w:rPr>
              <w:t>衡南县谭子山镇团岭村邓家组</w:t>
            </w:r>
          </w:p>
        </w:tc>
        <w:tc>
          <w:tcPr>
            <w:tcW w:w="737"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受伤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40" w:hRule="atLeast"/>
          <w:jc w:val="center"/>
        </w:trPr>
        <w:tc>
          <w:tcPr>
            <w:tcW w:w="1001"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val="en-US" w:eastAsia="zh-CN"/>
              </w:rPr>
              <w:t>陈*</w:t>
            </w:r>
          </w:p>
        </w:tc>
        <w:tc>
          <w:tcPr>
            <w:tcW w:w="2429" w:type="dxa"/>
            <w:noWrap w:val="0"/>
            <w:vAlign w:val="center"/>
          </w:tcPr>
          <w:p>
            <w:pPr>
              <w:spacing w:line="0" w:lineRule="atLeast"/>
              <w:jc w:val="center"/>
              <w:rPr>
                <w:rFonts w:hint="default" w:eastAsia="仿宋"/>
                <w:color w:val="auto"/>
                <w:sz w:val="18"/>
                <w:szCs w:val="18"/>
                <w:lang w:val="en-US" w:eastAsia="zh-CN"/>
              </w:rPr>
            </w:pPr>
            <w:r>
              <w:rPr>
                <w:rFonts w:hint="eastAsia" w:eastAsia="仿宋"/>
                <w:color w:val="auto"/>
                <w:sz w:val="18"/>
                <w:szCs w:val="18"/>
                <w:lang w:val="en-US" w:eastAsia="zh-CN"/>
              </w:rPr>
              <w:t>43040519891008****</w:t>
            </w:r>
          </w:p>
        </w:tc>
        <w:tc>
          <w:tcPr>
            <w:tcW w:w="681" w:type="dxa"/>
            <w:noWrap w:val="0"/>
            <w:vAlign w:val="center"/>
          </w:tcPr>
          <w:p>
            <w:pPr>
              <w:spacing w:line="0" w:lineRule="atLeast"/>
              <w:jc w:val="center"/>
              <w:rPr>
                <w:rFonts w:hint="default" w:eastAsia="仿宋"/>
                <w:color w:val="auto"/>
                <w:sz w:val="24"/>
                <w:lang w:val="en-US" w:eastAsia="zh-CN"/>
              </w:rPr>
            </w:pPr>
            <w:r>
              <w:rPr>
                <w:rFonts w:hint="eastAsia" w:eastAsia="仿宋"/>
                <w:color w:val="auto"/>
                <w:sz w:val="24"/>
                <w:lang w:val="en-US" w:eastAsia="zh-CN"/>
              </w:rPr>
              <w:t>36岁</w:t>
            </w:r>
          </w:p>
        </w:tc>
        <w:tc>
          <w:tcPr>
            <w:tcW w:w="683"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男</w:t>
            </w:r>
          </w:p>
        </w:tc>
        <w:tc>
          <w:tcPr>
            <w:tcW w:w="879"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初中</w:t>
            </w:r>
          </w:p>
        </w:tc>
        <w:tc>
          <w:tcPr>
            <w:tcW w:w="1020"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当班钳工</w:t>
            </w:r>
          </w:p>
        </w:tc>
        <w:tc>
          <w:tcPr>
            <w:tcW w:w="1293" w:type="dxa"/>
            <w:noWrap w:val="0"/>
            <w:vAlign w:val="center"/>
          </w:tcPr>
          <w:p>
            <w:pPr>
              <w:spacing w:line="0" w:lineRule="atLeast"/>
              <w:jc w:val="center"/>
              <w:rPr>
                <w:rFonts w:hint="eastAsia" w:eastAsia="仿宋"/>
                <w:color w:val="auto"/>
                <w:sz w:val="24"/>
                <w:lang w:val="en-US" w:eastAsia="zh-CN"/>
              </w:rPr>
            </w:pPr>
            <w:r>
              <w:rPr>
                <w:rFonts w:hint="eastAsia" w:eastAsia="仿宋"/>
                <w:color w:val="auto"/>
                <w:sz w:val="24"/>
                <w:lang w:val="en-US" w:eastAsia="zh-CN"/>
              </w:rPr>
              <w:t>珠晖区和平乡五四安置房9栋2单元1906室</w:t>
            </w:r>
          </w:p>
        </w:tc>
        <w:tc>
          <w:tcPr>
            <w:tcW w:w="737" w:type="dxa"/>
            <w:noWrap w:val="0"/>
            <w:vAlign w:val="center"/>
          </w:tcPr>
          <w:p>
            <w:pPr>
              <w:spacing w:line="0" w:lineRule="atLeast"/>
              <w:jc w:val="center"/>
              <w:rPr>
                <w:rFonts w:hint="eastAsia" w:eastAsia="仿宋"/>
                <w:color w:val="auto"/>
                <w:sz w:val="24"/>
                <w:lang w:eastAsia="zh-CN"/>
              </w:rPr>
            </w:pPr>
            <w:r>
              <w:rPr>
                <w:rFonts w:hint="eastAsia" w:eastAsia="仿宋"/>
                <w:color w:val="auto"/>
                <w:sz w:val="24"/>
                <w:lang w:eastAsia="zh-CN"/>
              </w:rPr>
              <w:t>受伤</w:t>
            </w:r>
          </w:p>
        </w:tc>
      </w:tr>
    </w:tbl>
    <w:p>
      <w:pPr>
        <w:keepNext w:val="0"/>
        <w:keepLines w:val="0"/>
        <w:pageBreakBefore w:val="0"/>
        <w:widowControl w:val="0"/>
        <w:kinsoku/>
        <w:wordWrap/>
        <w:overflowPunct/>
        <w:topLinePunct w:val="0"/>
        <w:autoSpaceDE/>
        <w:autoSpaceDN/>
        <w:bidi w:val="0"/>
        <w:snapToGrid/>
        <w:spacing w:line="560" w:lineRule="exact"/>
        <w:jc w:val="center"/>
        <w:textAlignment w:val="auto"/>
        <w:rPr>
          <w:rFonts w:hint="eastAsia" w:ascii="仿宋_GB2312" w:hAnsi="Calibri" w:eastAsia="仿宋_GB2312" w:cs="Times New Roman"/>
          <w:kern w:val="2"/>
          <w:sz w:val="32"/>
          <w:szCs w:val="32"/>
          <w:lang w:val="en-US" w:eastAsia="zh-CN" w:bidi="ar-SA"/>
        </w:rPr>
      </w:pPr>
    </w:p>
    <w:p>
      <w:pPr>
        <w:rPr>
          <w:rFonts w:hint="eastAsia" w:ascii="黑体" w:hAnsi="黑体" w:eastAsia="黑体" w:cs="黑体"/>
          <w:sz w:val="32"/>
          <w:szCs w:val="30"/>
          <w:lang w:eastAsia="zh-CN"/>
        </w:rPr>
      </w:pPr>
      <w:bookmarkStart w:id="35" w:name="_Toc1553107812_WPSOffice_Level1"/>
      <w:r>
        <w:rPr>
          <w:rFonts w:hint="eastAsia" w:ascii="黑体" w:hAnsi="黑体" w:eastAsia="黑体" w:cs="黑体"/>
          <w:sz w:val="32"/>
          <w:szCs w:val="30"/>
          <w:lang w:eastAsia="zh-CN"/>
        </w:rPr>
        <w:br w:type="page"/>
      </w:r>
    </w:p>
    <w:p>
      <w:pPr>
        <w:keepNext w:val="0"/>
        <w:keepLines w:val="0"/>
        <w:pageBreakBefore w:val="0"/>
        <w:widowControl w:val="0"/>
        <w:kinsoku/>
        <w:wordWrap/>
        <w:overflowPunct/>
        <w:topLinePunct w:val="0"/>
        <w:autoSpaceDE/>
        <w:autoSpaceDN/>
        <w:bidi w:val="0"/>
        <w:adjustRightInd/>
        <w:snapToGrid/>
        <w:spacing w:line="560" w:lineRule="exact"/>
        <w:jc w:val="left"/>
        <w:textAlignment w:val="auto"/>
        <w:rPr>
          <w:rFonts w:hint="eastAsia" w:ascii="黑体" w:hAnsi="黑体" w:eastAsia="黑体" w:cs="黑体"/>
          <w:sz w:val="32"/>
          <w:szCs w:val="30"/>
          <w:lang w:eastAsia="zh-CN"/>
        </w:rPr>
      </w:pPr>
      <w:r>
        <w:rPr>
          <w:rFonts w:hint="eastAsia" w:ascii="黑体" w:hAnsi="黑体" w:eastAsia="黑体" w:cs="黑体"/>
          <w:sz w:val="32"/>
          <w:szCs w:val="30"/>
          <w:lang w:eastAsia="zh-CN"/>
        </w:rPr>
        <w:t>附件二</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仿宋"/>
          <w:sz w:val="32"/>
          <w:szCs w:val="30"/>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eastAsia="仿宋"/>
          <w:sz w:val="32"/>
          <w:szCs w:val="30"/>
        </w:rPr>
      </w:pPr>
      <w:r>
        <w:rPr>
          <w:rFonts w:hint="eastAsia" w:eastAsia="仿宋"/>
          <w:sz w:val="32"/>
          <w:szCs w:val="30"/>
        </w:rPr>
        <w:t>湖南衡阳钢管（集团）有限公司“11·1”</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Calibri" w:eastAsia="仿宋_GB2312" w:cs="Times New Roman"/>
          <w:kern w:val="2"/>
          <w:sz w:val="32"/>
          <w:szCs w:val="32"/>
          <w:lang w:val="en-US" w:eastAsia="zh-CN" w:bidi="ar-SA"/>
        </w:rPr>
      </w:pPr>
      <w:r>
        <w:rPr>
          <w:rFonts w:hint="eastAsia" w:eastAsia="仿宋"/>
          <w:sz w:val="32"/>
          <w:szCs w:val="30"/>
        </w:rPr>
        <w:t>一般火灾事故调查</w:t>
      </w:r>
      <w:r>
        <w:rPr>
          <w:rFonts w:hint="eastAsia" w:ascii="仿宋_GB2312" w:hAnsi="Calibri" w:eastAsia="仿宋_GB2312" w:cs="Times New Roman"/>
          <w:kern w:val="2"/>
          <w:sz w:val="32"/>
          <w:szCs w:val="32"/>
          <w:lang w:val="en-US" w:eastAsia="zh-CN" w:bidi="ar-SA"/>
        </w:rPr>
        <w:t>直接经济损失明细表</w:t>
      </w:r>
      <w:bookmarkEnd w:id="35"/>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3358"/>
        <w:gridCol w:w="2139"/>
        <w:gridCol w:w="13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序号</w:t>
            </w:r>
          </w:p>
        </w:tc>
        <w:tc>
          <w:tcPr>
            <w:tcW w:w="3358"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项目名称</w:t>
            </w:r>
          </w:p>
        </w:tc>
        <w:tc>
          <w:tcPr>
            <w:tcW w:w="2139"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费用（万元）</w:t>
            </w:r>
          </w:p>
        </w:tc>
        <w:tc>
          <w:tcPr>
            <w:tcW w:w="1386"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2"/>
              <w:jc w:val="center"/>
              <w:rPr>
                <w:rFonts w:hint="default"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1</w:t>
            </w:r>
          </w:p>
        </w:tc>
        <w:tc>
          <w:tcPr>
            <w:tcW w:w="3358" w:type="dxa"/>
            <w:noWrap w:val="0"/>
            <w:vAlign w:val="center"/>
          </w:tcPr>
          <w:p>
            <w:pPr>
              <w:pStyle w:val="2"/>
              <w:jc w:val="center"/>
              <w:rPr>
                <w:rFonts w:hint="eastAsia"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sz w:val="28"/>
                <w:szCs w:val="28"/>
                <w:vertAlign w:val="baseline"/>
                <w:lang w:val="en-US" w:eastAsia="zh-CN"/>
              </w:rPr>
              <w:t>一次性工亡补助金</w:t>
            </w:r>
          </w:p>
        </w:tc>
        <w:tc>
          <w:tcPr>
            <w:tcW w:w="2139" w:type="dxa"/>
            <w:noWrap w:val="0"/>
            <w:vAlign w:val="center"/>
          </w:tcPr>
          <w:p>
            <w:pPr>
              <w:pStyle w:val="2"/>
              <w:jc w:val="center"/>
              <w:rPr>
                <w:rFonts w:hint="default"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sz w:val="28"/>
                <w:szCs w:val="28"/>
                <w:vertAlign w:val="baseline"/>
                <w:lang w:val="en-US" w:eastAsia="zh-CN"/>
              </w:rPr>
              <w:t>103.64</w:t>
            </w:r>
          </w:p>
        </w:tc>
        <w:tc>
          <w:tcPr>
            <w:tcW w:w="1386"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2"/>
              <w:jc w:val="center"/>
              <w:rPr>
                <w:rFonts w:hint="default"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2</w:t>
            </w:r>
          </w:p>
        </w:tc>
        <w:tc>
          <w:tcPr>
            <w:tcW w:w="3358" w:type="dxa"/>
            <w:noWrap w:val="0"/>
            <w:vAlign w:val="center"/>
          </w:tcPr>
          <w:p>
            <w:pPr>
              <w:pStyle w:val="2"/>
              <w:jc w:val="center"/>
              <w:rPr>
                <w:rFonts w:hint="eastAsia"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sz w:val="28"/>
                <w:szCs w:val="28"/>
                <w:vertAlign w:val="baseline"/>
                <w:lang w:val="en-US" w:eastAsia="zh-CN"/>
              </w:rPr>
              <w:t>丧葬费</w:t>
            </w:r>
          </w:p>
        </w:tc>
        <w:tc>
          <w:tcPr>
            <w:tcW w:w="2139" w:type="dxa"/>
            <w:noWrap w:val="0"/>
            <w:vAlign w:val="center"/>
          </w:tcPr>
          <w:p>
            <w:pPr>
              <w:pStyle w:val="2"/>
              <w:jc w:val="center"/>
              <w:rPr>
                <w:rFonts w:hint="default"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kern w:val="2"/>
                <w:sz w:val="28"/>
                <w:szCs w:val="28"/>
                <w:vertAlign w:val="baseline"/>
                <w:lang w:val="en-US" w:eastAsia="zh-CN" w:bidi="ar-SA"/>
              </w:rPr>
              <w:t>4.45</w:t>
            </w:r>
          </w:p>
        </w:tc>
        <w:tc>
          <w:tcPr>
            <w:tcW w:w="1386"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2"/>
              <w:jc w:val="center"/>
              <w:rPr>
                <w:rFonts w:hint="default"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3</w:t>
            </w:r>
          </w:p>
        </w:tc>
        <w:tc>
          <w:tcPr>
            <w:tcW w:w="3358" w:type="dxa"/>
            <w:noWrap w:val="0"/>
            <w:vAlign w:val="center"/>
          </w:tcPr>
          <w:p>
            <w:pPr>
              <w:pStyle w:val="2"/>
              <w:jc w:val="center"/>
              <w:rPr>
                <w:rFonts w:hint="eastAsia"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kern w:val="2"/>
                <w:sz w:val="28"/>
                <w:szCs w:val="28"/>
                <w:vertAlign w:val="baseline"/>
                <w:lang w:val="en-US" w:eastAsia="zh-CN" w:bidi="ar-SA"/>
              </w:rPr>
              <w:t>医疗救治及应急救援费</w:t>
            </w:r>
          </w:p>
        </w:tc>
        <w:tc>
          <w:tcPr>
            <w:tcW w:w="2139" w:type="dxa"/>
            <w:noWrap w:val="0"/>
            <w:vAlign w:val="center"/>
          </w:tcPr>
          <w:p>
            <w:pPr>
              <w:pStyle w:val="2"/>
              <w:jc w:val="center"/>
              <w:rPr>
                <w:rFonts w:hint="default"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kern w:val="2"/>
                <w:sz w:val="28"/>
                <w:szCs w:val="28"/>
                <w:vertAlign w:val="baseline"/>
                <w:lang w:val="en-US" w:eastAsia="zh-CN" w:bidi="ar-SA"/>
              </w:rPr>
              <w:t>0.89</w:t>
            </w:r>
          </w:p>
        </w:tc>
        <w:tc>
          <w:tcPr>
            <w:tcW w:w="1386"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5" w:hRule="atLeast"/>
          <w:jc w:val="center"/>
        </w:trPr>
        <w:tc>
          <w:tcPr>
            <w:tcW w:w="1218" w:type="dxa"/>
            <w:noWrap w:val="0"/>
            <w:vAlign w:val="center"/>
          </w:tcPr>
          <w:p>
            <w:pPr>
              <w:pStyle w:val="2"/>
              <w:jc w:val="center"/>
              <w:rPr>
                <w:rFonts w:hint="default" w:ascii="仿宋_GB2312" w:hAnsi="仿宋_GB2312" w:eastAsia="仿宋_GB2312" w:cs="仿宋_GB2312"/>
                <w:b w:val="0"/>
                <w:bCs/>
                <w:sz w:val="28"/>
                <w:szCs w:val="28"/>
                <w:vertAlign w:val="baseline"/>
                <w:lang w:val="en-US" w:eastAsia="zh-CN"/>
              </w:rPr>
            </w:pPr>
            <w:r>
              <w:rPr>
                <w:rFonts w:hint="eastAsia" w:ascii="仿宋_GB2312" w:hAnsi="仿宋_GB2312" w:eastAsia="仿宋_GB2312" w:cs="仿宋_GB2312"/>
                <w:b w:val="0"/>
                <w:bCs/>
                <w:sz w:val="28"/>
                <w:szCs w:val="28"/>
                <w:vertAlign w:val="baseline"/>
                <w:lang w:val="en-US" w:eastAsia="zh-CN"/>
              </w:rPr>
              <w:t>4</w:t>
            </w:r>
          </w:p>
        </w:tc>
        <w:tc>
          <w:tcPr>
            <w:tcW w:w="3358" w:type="dxa"/>
            <w:noWrap w:val="0"/>
            <w:vAlign w:val="center"/>
          </w:tcPr>
          <w:p>
            <w:pPr>
              <w:pStyle w:val="2"/>
              <w:jc w:val="center"/>
              <w:rPr>
                <w:rFonts w:hint="eastAsia"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sz w:val="28"/>
                <w:szCs w:val="28"/>
                <w:vertAlign w:val="baseline"/>
                <w:lang w:val="en-US" w:eastAsia="zh-CN"/>
              </w:rPr>
              <w:t>人道主义赔付费</w:t>
            </w:r>
          </w:p>
        </w:tc>
        <w:tc>
          <w:tcPr>
            <w:tcW w:w="2139" w:type="dxa"/>
            <w:noWrap w:val="0"/>
            <w:vAlign w:val="center"/>
          </w:tcPr>
          <w:p>
            <w:pPr>
              <w:pStyle w:val="2"/>
              <w:jc w:val="center"/>
              <w:rPr>
                <w:rFonts w:hint="default"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kern w:val="2"/>
                <w:sz w:val="28"/>
                <w:szCs w:val="28"/>
                <w:vertAlign w:val="baseline"/>
                <w:lang w:val="en-US" w:eastAsia="zh-CN" w:bidi="ar-SA"/>
              </w:rPr>
              <w:t>52</w:t>
            </w:r>
          </w:p>
        </w:tc>
        <w:tc>
          <w:tcPr>
            <w:tcW w:w="1386" w:type="dxa"/>
            <w:noWrap w:val="0"/>
            <w:vAlign w:val="center"/>
          </w:tcPr>
          <w:p>
            <w:pPr>
              <w:pStyle w:val="2"/>
              <w:jc w:val="center"/>
              <w:rPr>
                <w:rFonts w:hint="eastAsia" w:ascii="仿宋_GB2312" w:hAnsi="仿宋_GB2312" w:eastAsia="仿宋_GB2312" w:cs="仿宋_GB2312"/>
                <w:b w:val="0"/>
                <w:bCs/>
                <w:sz w:val="28"/>
                <w:szCs w:val="2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jc w:val="center"/>
        </w:trPr>
        <w:tc>
          <w:tcPr>
            <w:tcW w:w="4576" w:type="dxa"/>
            <w:gridSpan w:val="2"/>
            <w:noWrap w:val="0"/>
            <w:vAlign w:val="center"/>
          </w:tcPr>
          <w:p>
            <w:pPr>
              <w:pStyle w:val="2"/>
              <w:jc w:val="center"/>
              <w:rPr>
                <w:rFonts w:hint="eastAsia"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kern w:val="2"/>
                <w:sz w:val="28"/>
                <w:szCs w:val="28"/>
                <w:vertAlign w:val="baseline"/>
                <w:lang w:val="en-US" w:eastAsia="zh-CN" w:bidi="ar-SA"/>
              </w:rPr>
              <w:t>合    计</w:t>
            </w:r>
          </w:p>
        </w:tc>
        <w:tc>
          <w:tcPr>
            <w:tcW w:w="2139" w:type="dxa"/>
            <w:noWrap w:val="0"/>
            <w:vAlign w:val="center"/>
          </w:tcPr>
          <w:p>
            <w:pPr>
              <w:pStyle w:val="2"/>
              <w:jc w:val="center"/>
              <w:rPr>
                <w:rFonts w:hint="default" w:ascii="仿宋_GB2312" w:hAnsi="仿宋_GB2312" w:eastAsia="仿宋_GB2312" w:cs="仿宋_GB2312"/>
                <w:b w:val="0"/>
                <w:bCs/>
                <w:kern w:val="2"/>
                <w:sz w:val="28"/>
                <w:szCs w:val="28"/>
                <w:vertAlign w:val="baseline"/>
                <w:lang w:val="en-US" w:eastAsia="zh-CN" w:bidi="ar-SA"/>
              </w:rPr>
            </w:pPr>
            <w:r>
              <w:rPr>
                <w:rFonts w:hint="eastAsia" w:ascii="仿宋_GB2312" w:hAnsi="仿宋_GB2312" w:eastAsia="仿宋_GB2312" w:cs="仿宋_GB2312"/>
                <w:b w:val="0"/>
                <w:bCs/>
                <w:kern w:val="2"/>
                <w:sz w:val="28"/>
                <w:szCs w:val="28"/>
                <w:vertAlign w:val="baseline"/>
                <w:lang w:val="en-US" w:eastAsia="zh-CN" w:bidi="ar-SA"/>
              </w:rPr>
              <w:t>160.98</w:t>
            </w:r>
          </w:p>
        </w:tc>
        <w:tc>
          <w:tcPr>
            <w:tcW w:w="1386" w:type="dxa"/>
            <w:noWrap w:val="0"/>
            <w:vAlign w:val="center"/>
          </w:tcPr>
          <w:p>
            <w:pPr>
              <w:pStyle w:val="2"/>
              <w:jc w:val="center"/>
              <w:rPr>
                <w:rFonts w:hint="eastAsia" w:ascii="仿宋_GB2312" w:hAnsi="仿宋_GB2312" w:eastAsia="仿宋_GB2312" w:cs="仿宋_GB2312"/>
                <w:b w:val="0"/>
                <w:bCs/>
                <w:kern w:val="2"/>
                <w:sz w:val="28"/>
                <w:szCs w:val="28"/>
                <w:vertAlign w:val="baseline"/>
                <w:lang w:val="en-US" w:eastAsia="zh-CN" w:bidi="ar-SA"/>
              </w:rPr>
            </w:pPr>
          </w:p>
        </w:tc>
      </w:tr>
    </w:tbl>
    <w:p>
      <w:pPr>
        <w:bidi w:val="0"/>
        <w:rPr>
          <w:rFonts w:hint="eastAsia"/>
          <w:rtl w:val="0"/>
          <w:lang w:val="en-US" w:eastAsia="zh-CN"/>
        </w:rPr>
      </w:pPr>
    </w:p>
    <w:p>
      <w:pPr>
        <w:bidi w:val="0"/>
        <w:rPr>
          <w:rFonts w:hint="eastAsia"/>
          <w:rtl w:val="0"/>
          <w:lang w:val="en-US" w:eastAsia="zh-CN"/>
        </w:rPr>
      </w:pPr>
    </w:p>
    <w:p>
      <w:pPr>
        <w:keepNext w:val="0"/>
        <w:keepLines w:val="0"/>
        <w:pageBreakBefore w:val="0"/>
        <w:widowControl w:val="0"/>
        <w:kinsoku/>
        <w:wordWrap/>
        <w:overflowPunct/>
        <w:topLinePunct w:val="0"/>
        <w:autoSpaceDE/>
        <w:autoSpaceDN/>
        <w:bidi w:val="0"/>
        <w:snapToGrid/>
        <w:spacing w:line="560" w:lineRule="exact"/>
        <w:jc w:val="left"/>
        <w:textAlignment w:val="auto"/>
        <w:rPr>
          <w:rFonts w:hint="eastAsia" w:eastAsia="仿宋"/>
          <w:rtl w:val="0"/>
          <w:lang w:val="en-US" w:eastAsia="zh-CN"/>
        </w:rPr>
      </w:pPr>
    </w:p>
    <w:p/>
    <w:sectPr>
      <w:headerReference r:id="rId3" w:type="default"/>
      <w:footerReference r:id="rId4" w:type="default"/>
      <w:pgSz w:w="11906" w:h="16838"/>
      <w:pgMar w:top="1440" w:right="1286"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Nimbus Roman No9 L"/>
    <w:panose1 w:val="02020603050405020304"/>
    <w:charset w:val="01"/>
    <w:family w:val="auto"/>
    <w:pitch w:val="default"/>
    <w:sig w:usb0="00000000" w:usb1="00000000" w:usb2="00000009"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Nimbus Roman No9 L">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a:effectLst/>
                    </wps:spPr>
                    <wps:txbx>
                      <w:txbxContent>
                        <w:p>
                          <w:pPr>
                            <w:pStyle w:val="5"/>
                          </w:pPr>
                          <w:r>
                            <w:fldChar w:fldCharType="begin"/>
                          </w:r>
                          <w:r>
                            <w:instrText xml:space="preserve"> PAGE  \* MERGEFORMAT </w:instrText>
                          </w:r>
                          <w:r>
                            <w:fldChar w:fldCharType="separate"/>
                          </w:r>
                          <w:r>
                            <w:t>- 8 -</w:t>
                          </w:r>
                          <w:r>
                            <w:fldChar w:fldCharType="end"/>
                          </w:r>
                        </w:p>
                      </w:txbxContent>
                    </wps:txbx>
                    <wps:bodyPr wrap="none" lIns="0" tIns="0" rIns="0" bIns="0" upright="false">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WAAAA&#10;ZHJzL1BLAQIUABQAAAAIAIdO4kDOqXm5zwAAAAUBAAAPAAAAAAAAAAEAIAAAADgAAABkcnMvZG93&#10;bnJldi54bWxQSwECFAAUAAAACACHTuJAHY04eLoBAABjAwAADgAAAAAAAAABACAAAAA0AQAAZHJz&#10;L2Uyb0RvYy54bWxQSwUGAAAAAAYABgBZAQAAYAUAAAAA&#10;">
              <v:fill on="f" focussize="0,0"/>
              <v:stroke on="f"/>
              <v:imagedata o:title=""/>
              <o:lock v:ext="edit" aspectratio="f"/>
              <v:textbox inset="0mm,0mm,0mm,0mm" style="mso-fit-shape-to-text:t;">
                <w:txbxContent>
                  <w:p>
                    <w:pPr>
                      <w:pStyle w:val="5"/>
                    </w:pPr>
                    <w:r>
                      <w:fldChar w:fldCharType="begin"/>
                    </w:r>
                    <w:r>
                      <w:instrText xml:space="preserve"> PAGE  \* MERGEFORMAT </w:instrText>
                    </w:r>
                    <w:r>
                      <w:fldChar w:fldCharType="separate"/>
                    </w:r>
                    <w:r>
                      <w:t>- 8 -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true"/>
  <w:bordersDoNotSurroundFooter w:val="true"/>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FE3F50F"/>
    <w:rsid w:val="137F9BD1"/>
    <w:rsid w:val="19DD4FF8"/>
    <w:rsid w:val="1EBDE1DB"/>
    <w:rsid w:val="5DF72E9D"/>
    <w:rsid w:val="5E640DB1"/>
    <w:rsid w:val="5FDF7814"/>
    <w:rsid w:val="5FFFF562"/>
    <w:rsid w:val="6BDE6B71"/>
    <w:rsid w:val="77F3D8A0"/>
    <w:rsid w:val="7BED6AA0"/>
    <w:rsid w:val="7D99670F"/>
    <w:rsid w:val="7F7FD33F"/>
    <w:rsid w:val="7FE3F50F"/>
    <w:rsid w:val="7FFA70A6"/>
    <w:rsid w:val="97E71E77"/>
    <w:rsid w:val="BFAE6BE9"/>
    <w:rsid w:val="DFDCC483"/>
    <w:rsid w:val="EB7F7E5B"/>
    <w:rsid w:val="EEEF0506"/>
    <w:rsid w:val="F27F40EA"/>
    <w:rsid w:val="F2B90CDD"/>
    <w:rsid w:val="F5FF41CB"/>
    <w:rsid w:val="FFED7B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name="header"/>
    <w:lsdException w:qFormat="1" w:uiPriority="99"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after="120"/>
    </w:pPr>
    <w:rPr>
      <w:kern w:val="0"/>
      <w:sz w:val="20"/>
    </w:rPr>
  </w:style>
  <w:style w:type="paragraph" w:styleId="4">
    <w:name w:val="Body Text Indent"/>
    <w:basedOn w:val="1"/>
    <w:next w:val="1"/>
    <w:qFormat/>
    <w:uiPriority w:val="0"/>
    <w:pPr>
      <w:spacing w:after="120"/>
      <w:ind w:left="420" w:leftChars="200"/>
    </w:pPr>
    <w:rPr>
      <w:szCs w:val="21"/>
    </w:rPr>
  </w:style>
  <w:style w:type="paragraph" w:styleId="5">
    <w:name w:val="footer"/>
    <w:basedOn w:val="1"/>
    <w:semiHidden/>
    <w:unhideWhenUsed/>
    <w:qFormat/>
    <w:uiPriority w:val="99"/>
    <w:pPr>
      <w:tabs>
        <w:tab w:val="center" w:pos="4153"/>
        <w:tab w:val="right" w:pos="8306"/>
      </w:tabs>
      <w:snapToGrid w:val="0"/>
      <w:jc w:val="left"/>
    </w:pPr>
    <w:rPr>
      <w:sz w:val="18"/>
    </w:rPr>
  </w:style>
  <w:style w:type="paragraph" w:styleId="6">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7">
    <w:name w:val="Body Text First Indent 2"/>
    <w:basedOn w:val="4"/>
    <w:qFormat/>
    <w:uiPriority w:val="0"/>
    <w:pPr>
      <w:ind w:firstLine="420" w:firstLineChars="200"/>
    </w:p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WPSOffice手动目录 1"/>
    <w:qFormat/>
    <w:uiPriority w:val="0"/>
    <w:pPr>
      <w:ind w:leftChars="0"/>
    </w:pPr>
    <w:rPr>
      <w:rFonts w:ascii="Times New Roman" w:hAnsi="Times New Roman" w:eastAsia="宋体" w:cs="Times New Roman"/>
      <w:sz w:val="20"/>
      <w:szCs w:val="20"/>
    </w:rPr>
  </w:style>
  <w:style w:type="paragraph" w:customStyle="1" w:styleId="12">
    <w:name w:val="UserStyle_0"/>
    <w:basedOn w:val="1"/>
    <w:next w:val="1"/>
    <w:qFormat/>
    <w:uiPriority w:val="0"/>
    <w:pPr>
      <w:spacing w:after="120"/>
    </w:pPr>
    <w:rPr>
      <w:rFonts w:ascii="Times New Roman" w:hAnsi="Times New Roman" w:eastAsia="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118</TotalTime>
  <ScaleCrop>false</ScaleCrop>
  <LinksUpToDate>false</LinksUpToDate>
  <CharactersWithSpaces>0</CharactersWithSpaces>
  <Application>WPS Office_11.8.2.10125_F1E327BC-269C-435d-A152-05C5408002CA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2025-01-16T02:03:00Z</dcterms:created>
  <dc:creator>greatwall</dc:creator>
  <cp:lastModifiedBy>greatwall</cp:lastModifiedBy>
  <dcterms:modified xsi:type="dcterms:W3CDTF">2025-01-17T16:36:25Z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2052-11.8.2.10125</vt:lpwstr>
  </property>
</Properties>
</file>