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部门整体支出绩效自评报告</w:t>
      </w:r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/>
          <w:sz w:val="36"/>
          <w:szCs w:val="36"/>
        </w:rPr>
      </w:pPr>
    </w:p>
    <w:p>
      <w:pPr>
        <w:jc w:val="center"/>
        <w:rPr>
          <w:rFonts w:ascii="Times New Roman" w:hAnsi="Times New Roman"/>
          <w:sz w:val="36"/>
          <w:szCs w:val="36"/>
        </w:rPr>
      </w:pPr>
    </w:p>
    <w:p>
      <w:pPr>
        <w:jc w:val="center"/>
        <w:rPr>
          <w:rFonts w:ascii="Times New Roman" w:hAnsi="Times New Roman"/>
          <w:sz w:val="36"/>
          <w:szCs w:val="36"/>
        </w:rPr>
      </w:pPr>
    </w:p>
    <w:p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：衡阳市机关事务管理局</w:t>
      </w:r>
    </w:p>
    <w:p>
      <w:pPr>
        <w:ind w:firstLine="1440" w:firstLineChars="400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>
      <w:pPr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202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黑体"/>
          <w:sz w:val="32"/>
          <w:szCs w:val="32"/>
        </w:rPr>
        <w:t>日</w:t>
      </w:r>
    </w:p>
    <w:p>
      <w:pPr>
        <w:spacing w:line="600" w:lineRule="exact"/>
        <w:rPr>
          <w:rFonts w:ascii="Times New Roman" w:hAnsi="Times New Roman" w:eastAsia="方正小标宋简体"/>
          <w:sz w:val="44"/>
          <w:szCs w:val="44"/>
        </w:rPr>
        <w:sectPr>
          <w:headerReference r:id="rId4" w:type="first"/>
          <w:footerReference r:id="rId5" w:type="default"/>
          <w:headerReference r:id="rId3" w:type="even"/>
          <w:footerReference r:id="rId6" w:type="even"/>
          <w:pgSz w:w="11906" w:h="16838"/>
          <w:pgMar w:top="1440" w:right="1797" w:bottom="1440" w:left="1797" w:header="851" w:footer="992" w:gutter="0"/>
          <w:cols w:space="720" w:num="1"/>
          <w:titlePg/>
          <w:rtlGutter w:val="1"/>
          <w:docGrid w:type="linesAndChars" w:linePitch="312" w:charSpace="0"/>
        </w:sectPr>
      </w:pPr>
    </w:p>
    <w:p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>
      <w:pPr>
        <w:rPr>
          <w:rFonts w:ascii="Times New Roman" w:hAnsi="Times New Roman" w:eastAsia="方正小标宋_GBK"/>
          <w:sz w:val="32"/>
          <w:szCs w:val="32"/>
        </w:rPr>
      </w:pPr>
    </w:p>
    <w:p>
      <w:pPr>
        <w:pStyle w:val="11"/>
        <w:widowControl/>
        <w:numPr>
          <w:ilvl w:val="0"/>
          <w:numId w:val="1"/>
        </w:numPr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部门、单位基本情况</w:t>
      </w:r>
    </w:p>
    <w:p>
      <w:pPr>
        <w:pStyle w:val="11"/>
        <w:widowControl/>
        <w:spacing w:line="600" w:lineRule="exact"/>
        <w:ind w:firstLine="640"/>
        <w:rPr>
          <w:rFonts w:hint="eastAsia" w:eastAsia="仿宋_GB2312"/>
          <w:kern w:val="0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衡阳市机关事务管理局是市政府工作部门，正处级。我单位内设科</w:t>
      </w:r>
      <w:r>
        <w:rPr>
          <w:rFonts w:hint="eastAsia" w:eastAsia="仿宋_GB2312"/>
          <w:kern w:val="0"/>
          <w:sz w:val="32"/>
          <w:szCs w:val="32"/>
          <w:lang w:bidi="zh-CN"/>
        </w:rPr>
        <w:t>室6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个</w:t>
      </w:r>
      <w:r>
        <w:rPr>
          <w:rFonts w:hint="eastAsia" w:eastAsia="仿宋_GB2312"/>
          <w:kern w:val="0"/>
          <w:sz w:val="32"/>
          <w:szCs w:val="32"/>
          <w:lang w:bidi="zh-CN"/>
        </w:rPr>
        <w:t>，包括办公室、财务管理科、办公用房管理科、国有资产管理科、公车管理科和公共资源节能管理科。所属事业单位1个，为衡阳市机关事务服务中心。无二级预算单位。本单位人员共29个编制，其中：行政编17个，工勤编1个，事业编11个。年末实有人数2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8</w:t>
      </w:r>
      <w:r>
        <w:rPr>
          <w:rFonts w:hint="eastAsia" w:eastAsia="仿宋_GB2312"/>
          <w:kern w:val="0"/>
          <w:sz w:val="32"/>
          <w:szCs w:val="32"/>
          <w:lang w:bidi="zh-CN"/>
        </w:rPr>
        <w:t>人，其中行政编在职16人，工勤编在职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2</w:t>
      </w:r>
      <w:r>
        <w:rPr>
          <w:rFonts w:hint="eastAsia" w:eastAsia="仿宋_GB2312"/>
          <w:kern w:val="0"/>
          <w:sz w:val="32"/>
          <w:szCs w:val="32"/>
          <w:lang w:bidi="zh-CN"/>
        </w:rPr>
        <w:t>人，事业编在职10人。</w:t>
      </w:r>
    </w:p>
    <w:p>
      <w:pPr>
        <w:pStyle w:val="11"/>
        <w:widowControl/>
        <w:spacing w:line="600" w:lineRule="exact"/>
        <w:ind w:firstLine="640"/>
        <w:rPr>
          <w:rFonts w:hint="eastAsia" w:eastAsia="仿宋_GB2312"/>
          <w:kern w:val="0"/>
          <w:sz w:val="32"/>
          <w:szCs w:val="32"/>
          <w:lang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我单位的主要职责是：1.指导全市机关事务工作，负责市直机关事务的管理、保障和服务工作。2.指导全市机关单位办公用房管理，负责市直机关单位办公用房管理。3.负责市直行政事业单位机关国有资产管理。4.负责公务用车管理工作。5.统筹协调全市公共机构节能工作。6.会同相关部门管理、指导、监督、检查全市行政事业单位公务接待工作。7.负责指导市直机关单位后勤服务人员培训工作。负责指导全市机关后勤服务体制改革工作。</w:t>
      </w:r>
    </w:p>
    <w:p>
      <w:pPr>
        <w:pStyle w:val="11"/>
        <w:widowControl/>
        <w:numPr>
          <w:ilvl w:val="0"/>
          <w:numId w:val="1"/>
        </w:numPr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一般公共预算支出情况</w:t>
      </w:r>
    </w:p>
    <w:p>
      <w:pPr>
        <w:pStyle w:val="11"/>
        <w:widowControl/>
        <w:spacing w:line="600" w:lineRule="exact"/>
        <w:ind w:firstLine="640"/>
        <w:rPr>
          <w:rFonts w:eastAsia="楷体"/>
          <w:b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本年支出合计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7500.56</w:t>
      </w:r>
      <w:r>
        <w:rPr>
          <w:rFonts w:hint="eastAsia" w:eastAsia="仿宋_GB2312"/>
          <w:kern w:val="0"/>
          <w:sz w:val="32"/>
          <w:szCs w:val="32"/>
          <w:lang w:bidi="zh-CN"/>
        </w:rPr>
        <w:t>万元，其中：基本支出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605.77</w:t>
      </w:r>
      <w:r>
        <w:rPr>
          <w:rFonts w:hint="eastAsia" w:eastAsia="仿宋_GB2312"/>
          <w:kern w:val="0"/>
          <w:sz w:val="32"/>
          <w:szCs w:val="32"/>
          <w:lang w:bidi="zh-CN"/>
        </w:rPr>
        <w:t>万元，占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8.08</w:t>
      </w:r>
      <w:r>
        <w:rPr>
          <w:rFonts w:hint="eastAsia" w:eastAsia="仿宋_GB2312"/>
          <w:kern w:val="0"/>
          <w:sz w:val="32"/>
          <w:szCs w:val="32"/>
          <w:lang w:bidi="zh-CN"/>
        </w:rPr>
        <w:t>%；项目支出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6894.79</w:t>
      </w:r>
      <w:r>
        <w:rPr>
          <w:rFonts w:hint="eastAsia" w:eastAsia="仿宋_GB2312"/>
          <w:kern w:val="0"/>
          <w:sz w:val="32"/>
          <w:szCs w:val="32"/>
          <w:lang w:bidi="zh-CN"/>
        </w:rPr>
        <w:t>万元，占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91.92</w:t>
      </w:r>
      <w:r>
        <w:rPr>
          <w:rFonts w:hint="eastAsia" w:eastAsia="仿宋_GB2312"/>
          <w:kern w:val="0"/>
          <w:sz w:val="32"/>
          <w:szCs w:val="32"/>
          <w:lang w:bidi="zh-CN"/>
        </w:rPr>
        <w:t>%。</w:t>
      </w:r>
    </w:p>
    <w:p>
      <w:pPr>
        <w:pStyle w:val="11"/>
        <w:widowControl/>
        <w:numPr>
          <w:ilvl w:val="0"/>
          <w:numId w:val="2"/>
        </w:numPr>
        <w:spacing w:line="600" w:lineRule="exact"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基本支出情况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</w:t>
      </w:r>
      <w:r>
        <w:rPr>
          <w:rFonts w:hint="eastAsia" w:eastAsia="仿宋_GB2312"/>
          <w:kern w:val="0"/>
          <w:sz w:val="32"/>
          <w:szCs w:val="32"/>
          <w:lang w:bidi="zh-CN"/>
        </w:rPr>
        <w:t>年度财政拨款基本支出年初预算数为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572.86</w:t>
      </w:r>
      <w:r>
        <w:rPr>
          <w:rFonts w:hint="eastAsia" w:eastAsia="仿宋_GB2312"/>
          <w:kern w:val="0"/>
          <w:sz w:val="32"/>
          <w:szCs w:val="32"/>
          <w:lang w:bidi="zh-CN"/>
        </w:rPr>
        <w:t>万元，支出决算数为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605.77</w:t>
      </w:r>
      <w:r>
        <w:rPr>
          <w:rFonts w:hint="eastAsia" w:eastAsia="仿宋_GB2312"/>
          <w:kern w:val="0"/>
          <w:sz w:val="32"/>
          <w:szCs w:val="32"/>
          <w:lang w:bidi="zh-CN"/>
        </w:rPr>
        <w:t>万元</w:t>
      </w:r>
      <w:r>
        <w:rPr>
          <w:rFonts w:hint="eastAsia" w:eastAsia="仿宋_GB2312"/>
          <w:kern w:val="0"/>
          <w:sz w:val="32"/>
          <w:szCs w:val="32"/>
          <w:highlight w:val="none"/>
          <w:lang w:bidi="zh-CN"/>
        </w:rPr>
        <w:t>，其中：</w:t>
      </w:r>
    </w:p>
    <w:p>
      <w:pPr>
        <w:pStyle w:val="11"/>
        <w:widowControl/>
        <w:spacing w:line="600" w:lineRule="exact"/>
        <w:ind w:firstLine="640"/>
        <w:rPr>
          <w:rFonts w:hint="eastAsia" w:eastAsia="仿宋_GB2312"/>
          <w:kern w:val="0"/>
          <w:sz w:val="32"/>
          <w:szCs w:val="32"/>
          <w:lang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1.行政运行。年初预算为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432.15</w:t>
      </w:r>
      <w:r>
        <w:rPr>
          <w:rFonts w:hint="eastAsia" w:eastAsia="仿宋_GB2312"/>
          <w:kern w:val="0"/>
          <w:sz w:val="32"/>
          <w:szCs w:val="32"/>
          <w:lang w:bidi="zh-CN"/>
        </w:rPr>
        <w:t>万元，支出决算为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429.06</w:t>
      </w:r>
      <w:r>
        <w:rPr>
          <w:rFonts w:hint="eastAsia" w:eastAsia="仿宋_GB2312"/>
          <w:kern w:val="0"/>
          <w:sz w:val="32"/>
          <w:szCs w:val="32"/>
          <w:lang w:bidi="zh-CN"/>
        </w:rPr>
        <w:t>万元，完成年初预算的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99.28</w:t>
      </w:r>
      <w:r>
        <w:rPr>
          <w:rFonts w:hint="eastAsia" w:eastAsia="仿宋_GB2312"/>
          <w:kern w:val="0"/>
          <w:sz w:val="32"/>
          <w:szCs w:val="32"/>
          <w:lang w:bidi="zh-CN"/>
        </w:rPr>
        <w:t>%。</w:t>
      </w:r>
    </w:p>
    <w:p>
      <w:pPr>
        <w:pStyle w:val="11"/>
        <w:widowControl/>
        <w:spacing w:line="600" w:lineRule="exact"/>
        <w:ind w:firstLine="640"/>
        <w:rPr>
          <w:rFonts w:hint="default" w:eastAsia="仿宋_GB2312"/>
          <w:kern w:val="0"/>
          <w:sz w:val="32"/>
          <w:szCs w:val="32"/>
          <w:lang w:val="en-US" w:bidi="zh-CN"/>
        </w:rPr>
      </w:pPr>
      <w:r>
        <w:rPr>
          <w:rFonts w:hint="eastAsia" w:eastAsia="仿宋_GB2312"/>
          <w:kern w:val="0"/>
          <w:sz w:val="32"/>
          <w:szCs w:val="32"/>
          <w:lang w:val="en-US" w:bidi="zh-CN"/>
        </w:rPr>
        <w:t>2.事业运行。支出决算为0.78元。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 xml:space="preserve">3.机关事业单位基本养老保险缴费支出。年初预算为 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40.25</w:t>
      </w:r>
      <w:r>
        <w:rPr>
          <w:rFonts w:hint="eastAsia" w:eastAsia="仿宋_GB2312"/>
          <w:kern w:val="0"/>
          <w:sz w:val="32"/>
          <w:szCs w:val="32"/>
          <w:lang w:bidi="zh-CN"/>
        </w:rPr>
        <w:t>万元，支出决算为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40.25</w:t>
      </w:r>
      <w:r>
        <w:rPr>
          <w:rFonts w:hint="eastAsia" w:eastAsia="仿宋_GB2312"/>
          <w:kern w:val="0"/>
          <w:sz w:val="32"/>
          <w:szCs w:val="32"/>
          <w:lang w:bidi="zh-CN"/>
        </w:rPr>
        <w:t>万元，</w:t>
      </w:r>
      <w:bookmarkStart w:id="24" w:name="_GoBack"/>
      <w:bookmarkEnd w:id="24"/>
      <w:r>
        <w:rPr>
          <w:rFonts w:hint="eastAsia" w:eastAsia="仿宋_GB2312"/>
          <w:kern w:val="0"/>
          <w:sz w:val="32"/>
          <w:szCs w:val="32"/>
          <w:lang w:bidi="zh-CN"/>
        </w:rPr>
        <w:t>完成年初预算的100%。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4.机关事业单位职业年金缴费支出。年初预算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20.13</w:t>
      </w:r>
      <w:r>
        <w:rPr>
          <w:rFonts w:hint="eastAsia" w:eastAsia="仿宋_GB2312"/>
          <w:kern w:val="0"/>
          <w:sz w:val="32"/>
          <w:szCs w:val="32"/>
          <w:lang w:bidi="zh-CN"/>
        </w:rPr>
        <w:t>万元，支出决算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23.91</w:t>
      </w:r>
      <w:r>
        <w:rPr>
          <w:rFonts w:hint="eastAsia" w:eastAsia="仿宋_GB2312"/>
          <w:kern w:val="0"/>
          <w:sz w:val="32"/>
          <w:szCs w:val="32"/>
          <w:lang w:bidi="zh-CN"/>
        </w:rPr>
        <w:t>万元，完成年初预算的1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18.7</w:t>
      </w:r>
      <w:r>
        <w:rPr>
          <w:rFonts w:hint="eastAsia" w:eastAsia="仿宋_GB2312"/>
          <w:kern w:val="0"/>
          <w:sz w:val="32"/>
          <w:szCs w:val="32"/>
          <w:lang w:bidi="zh-CN"/>
        </w:rPr>
        <w:t>%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5.行政事业单位医疗支出。年初预算为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21.89</w:t>
      </w:r>
      <w:r>
        <w:rPr>
          <w:rFonts w:hint="eastAsia" w:eastAsia="仿宋_GB2312"/>
          <w:kern w:val="0"/>
          <w:sz w:val="32"/>
          <w:szCs w:val="32"/>
          <w:lang w:bidi="zh-CN"/>
        </w:rPr>
        <w:t>万元，支出决算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21.63</w:t>
      </w:r>
      <w:r>
        <w:rPr>
          <w:rFonts w:hint="eastAsia" w:eastAsia="仿宋_GB2312"/>
          <w:kern w:val="0"/>
          <w:sz w:val="32"/>
          <w:szCs w:val="32"/>
          <w:lang w:bidi="zh-CN"/>
        </w:rPr>
        <w:t>万元，完成年初预算的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98.8</w:t>
      </w:r>
      <w:r>
        <w:rPr>
          <w:rFonts w:hint="eastAsia" w:eastAsia="仿宋_GB2312"/>
          <w:kern w:val="0"/>
          <w:sz w:val="32"/>
          <w:szCs w:val="32"/>
          <w:lang w:bidi="zh-CN"/>
        </w:rPr>
        <w:t>%。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6.其他行政事业单位医疗支出。年初预算为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20.97</w:t>
      </w:r>
      <w:r>
        <w:rPr>
          <w:rFonts w:hint="eastAsia" w:eastAsia="仿宋_GB2312"/>
          <w:kern w:val="0"/>
          <w:sz w:val="32"/>
          <w:szCs w:val="32"/>
          <w:lang w:bidi="zh-CN"/>
        </w:rPr>
        <w:t>万元，支出决算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21.86</w:t>
      </w:r>
      <w:r>
        <w:rPr>
          <w:rFonts w:hint="eastAsia" w:eastAsia="仿宋_GB2312"/>
          <w:kern w:val="0"/>
          <w:sz w:val="32"/>
          <w:szCs w:val="32"/>
          <w:lang w:bidi="zh-CN"/>
        </w:rPr>
        <w:t>万元，完成年初预算的10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</w:t>
      </w:r>
      <w:r>
        <w:rPr>
          <w:rFonts w:hint="eastAsia" w:eastAsia="仿宋_GB2312"/>
          <w:kern w:val="0"/>
          <w:sz w:val="32"/>
          <w:szCs w:val="32"/>
          <w:lang w:bidi="zh-CN"/>
        </w:rPr>
        <w:t>%。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7.住房公积金支出。年初预算为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36.57</w:t>
      </w:r>
      <w:r>
        <w:rPr>
          <w:rFonts w:hint="eastAsia" w:eastAsia="仿宋_GB2312"/>
          <w:kern w:val="0"/>
          <w:sz w:val="32"/>
          <w:szCs w:val="32"/>
          <w:lang w:bidi="zh-CN"/>
        </w:rPr>
        <w:t>万元，支出决算为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37.92</w:t>
      </w:r>
      <w:r>
        <w:rPr>
          <w:rFonts w:hint="eastAsia" w:eastAsia="仿宋_GB2312"/>
          <w:kern w:val="0"/>
          <w:sz w:val="32"/>
          <w:szCs w:val="32"/>
          <w:lang w:bidi="zh-CN"/>
        </w:rPr>
        <w:t>万元，完成年初预算的10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3.6</w:t>
      </w:r>
      <w:r>
        <w:rPr>
          <w:rFonts w:hint="eastAsia" w:eastAsia="仿宋_GB2312"/>
          <w:kern w:val="0"/>
          <w:sz w:val="32"/>
          <w:szCs w:val="32"/>
          <w:lang w:bidi="zh-CN"/>
        </w:rPr>
        <w:t>%。</w:t>
      </w:r>
    </w:p>
    <w:p>
      <w:pPr>
        <w:pStyle w:val="11"/>
        <w:widowControl/>
        <w:spacing w:line="600" w:lineRule="exact"/>
        <w:ind w:firstLine="640"/>
        <w:rPr>
          <w:rFonts w:hint="eastAsia" w:eastAsia="仿宋_GB2312"/>
          <w:kern w:val="0"/>
          <w:sz w:val="32"/>
          <w:szCs w:val="32"/>
          <w:lang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8.财政对工伤保险基金的补助支出。年初预算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0.9</w:t>
      </w:r>
      <w:r>
        <w:rPr>
          <w:rFonts w:hint="eastAsia" w:eastAsia="仿宋_GB2312"/>
          <w:kern w:val="0"/>
          <w:sz w:val="32"/>
          <w:szCs w:val="32"/>
          <w:lang w:bidi="zh-CN"/>
        </w:rPr>
        <w:t>万元，支出决算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0.92</w:t>
      </w:r>
      <w:r>
        <w:rPr>
          <w:rFonts w:hint="eastAsia" w:eastAsia="仿宋_GB2312"/>
          <w:kern w:val="0"/>
          <w:sz w:val="32"/>
          <w:szCs w:val="32"/>
          <w:lang w:bidi="zh-CN"/>
        </w:rPr>
        <w:t>万元，完成年初预算的10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2</w:t>
      </w:r>
      <w:r>
        <w:rPr>
          <w:rFonts w:hint="eastAsia" w:eastAsia="仿宋_GB2312"/>
          <w:kern w:val="0"/>
          <w:sz w:val="32"/>
          <w:szCs w:val="32"/>
          <w:lang w:bidi="zh-CN"/>
        </w:rPr>
        <w:t>%。</w:t>
      </w:r>
    </w:p>
    <w:p>
      <w:pPr>
        <w:pStyle w:val="11"/>
        <w:widowControl/>
        <w:spacing w:line="600" w:lineRule="exact"/>
        <w:ind w:firstLine="640"/>
        <w:rPr>
          <w:rFonts w:hint="eastAsia" w:eastAsia="仿宋_GB2312"/>
          <w:kern w:val="0"/>
          <w:sz w:val="32"/>
          <w:szCs w:val="32"/>
          <w:lang w:val="en-US" w:bidi="zh-CN"/>
        </w:rPr>
      </w:pPr>
      <w:r>
        <w:rPr>
          <w:rFonts w:hint="eastAsia" w:eastAsia="仿宋_GB2312"/>
          <w:kern w:val="0"/>
          <w:sz w:val="32"/>
          <w:szCs w:val="32"/>
          <w:lang w:val="en-US" w:bidi="zh-CN"/>
        </w:rPr>
        <w:t>9.</w:t>
      </w:r>
      <w:r>
        <w:rPr>
          <w:rFonts w:hint="eastAsia" w:eastAsia="仿宋_GB2312"/>
          <w:kern w:val="0"/>
          <w:sz w:val="32"/>
          <w:szCs w:val="32"/>
          <w:lang w:bidi="zh-CN"/>
        </w:rPr>
        <w:t>其他计划生育事务支出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0.1万元。</w:t>
      </w:r>
    </w:p>
    <w:p>
      <w:pPr>
        <w:pStyle w:val="11"/>
        <w:widowControl/>
        <w:spacing w:line="600" w:lineRule="exact"/>
        <w:ind w:firstLine="640"/>
        <w:rPr>
          <w:rFonts w:hint="eastAsia" w:eastAsia="仿宋_GB2312"/>
          <w:kern w:val="0"/>
          <w:sz w:val="32"/>
          <w:szCs w:val="32"/>
          <w:lang w:val="en-US" w:bidi="zh-CN"/>
        </w:rPr>
      </w:pPr>
      <w:r>
        <w:rPr>
          <w:rFonts w:hint="eastAsia" w:eastAsia="仿宋_GB2312"/>
          <w:kern w:val="0"/>
          <w:sz w:val="32"/>
          <w:szCs w:val="32"/>
          <w:lang w:val="en-US" w:bidi="zh-CN"/>
        </w:rPr>
        <w:t>10.死亡抚恤支出27.32万元。</w:t>
      </w:r>
    </w:p>
    <w:p>
      <w:pPr>
        <w:pStyle w:val="11"/>
        <w:widowControl/>
        <w:spacing w:line="600" w:lineRule="exact"/>
        <w:ind w:firstLine="640"/>
        <w:rPr>
          <w:rFonts w:hint="default" w:eastAsia="仿宋_GB2312"/>
          <w:kern w:val="0"/>
          <w:sz w:val="32"/>
          <w:szCs w:val="32"/>
          <w:lang w:val="en-US" w:bidi="zh-CN"/>
        </w:rPr>
      </w:pPr>
      <w:r>
        <w:rPr>
          <w:rFonts w:hint="eastAsia" w:eastAsia="仿宋_GB2312"/>
          <w:kern w:val="0"/>
          <w:sz w:val="32"/>
          <w:szCs w:val="32"/>
          <w:lang w:val="en-US" w:bidi="zh-CN"/>
        </w:rPr>
        <w:t>11.</w:t>
      </w:r>
      <w:r>
        <w:rPr>
          <w:rFonts w:hint="default" w:eastAsia="仿宋_GB2312"/>
          <w:kern w:val="0"/>
          <w:sz w:val="32"/>
          <w:szCs w:val="32"/>
          <w:lang w:val="en-US" w:bidi="zh-CN"/>
        </w:rPr>
        <w:t>其他优抚支出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2.02万元。</w:t>
      </w:r>
    </w:p>
    <w:p>
      <w:pPr>
        <w:pStyle w:val="11"/>
        <w:widowControl/>
        <w:spacing w:line="600" w:lineRule="exact"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（二）项目支出情况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</w:t>
      </w:r>
      <w:r>
        <w:rPr>
          <w:rFonts w:hint="eastAsia" w:eastAsia="仿宋_GB2312"/>
          <w:kern w:val="0"/>
          <w:sz w:val="32"/>
          <w:szCs w:val="32"/>
          <w:lang w:bidi="zh-CN"/>
        </w:rPr>
        <w:t>年度财政拨款项目支出年初预算数为133万元，支出决算为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6894.79</w:t>
      </w:r>
      <w:r>
        <w:rPr>
          <w:rFonts w:hint="eastAsia" w:eastAsia="仿宋_GB2312"/>
          <w:kern w:val="0"/>
          <w:sz w:val="32"/>
          <w:szCs w:val="32"/>
          <w:lang w:bidi="zh-CN"/>
        </w:rPr>
        <w:t>万元。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年初项目主要有：公务用车管理项目支出年初预算40万元，支出决算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35.17</w:t>
      </w:r>
      <w:r>
        <w:rPr>
          <w:rFonts w:hint="eastAsia" w:eastAsia="仿宋_GB2312"/>
          <w:kern w:val="0"/>
          <w:sz w:val="32"/>
          <w:szCs w:val="32"/>
          <w:lang w:bidi="zh-CN"/>
        </w:rPr>
        <w:t>万元，完成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87.93</w:t>
      </w:r>
      <w:r>
        <w:rPr>
          <w:rFonts w:hint="eastAsia" w:eastAsia="仿宋_GB2312"/>
          <w:kern w:val="0"/>
          <w:sz w:val="32"/>
          <w:szCs w:val="32"/>
          <w:lang w:bidi="zh-CN"/>
        </w:rPr>
        <w:t>%；公共机构节能项目年初预算17万元，支出决算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13.18</w:t>
      </w:r>
      <w:r>
        <w:rPr>
          <w:rFonts w:hint="eastAsia" w:eastAsia="仿宋_GB2312"/>
          <w:kern w:val="0"/>
          <w:sz w:val="32"/>
          <w:szCs w:val="32"/>
          <w:lang w:bidi="zh-CN"/>
        </w:rPr>
        <w:t>万元，完成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77.53</w:t>
      </w:r>
      <w:r>
        <w:rPr>
          <w:rFonts w:hint="eastAsia" w:eastAsia="仿宋_GB2312"/>
          <w:kern w:val="0"/>
          <w:sz w:val="32"/>
          <w:szCs w:val="32"/>
          <w:lang w:bidi="zh-CN"/>
        </w:rPr>
        <w:t>%；厅级干部周转房项目年初预算76万元，支出决算76万元，完成100%。</w:t>
      </w:r>
    </w:p>
    <w:p>
      <w:pPr>
        <w:pStyle w:val="11"/>
        <w:widowControl/>
        <w:spacing w:line="600" w:lineRule="exact"/>
        <w:ind w:firstLine="640"/>
        <w:rPr>
          <w:rFonts w:hint="eastAsia" w:eastAsia="仿宋_GB2312"/>
          <w:kern w:val="0"/>
          <w:sz w:val="32"/>
          <w:szCs w:val="32"/>
          <w:lang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追加项目主要有：市纪委审查调查外查点项目支出5981.15万元、法律援助中心修缮项目支出274.55万元、市委1号楼加固项目支出35.52万元、市委社会工作部修缮项目支出157.09万元、市政府东门维修项目支出170.04万元、市委大院二期项目支出72.07万元、市委7号办公楼维修项目支出66.63万元、市纪委5号办公楼会议室及大厅维修项目支出4.94万元、市纪监委办公楼防水修缮项目支出2.01万元。</w:t>
      </w:r>
    </w:p>
    <w:p>
      <w:pPr>
        <w:pStyle w:val="11"/>
        <w:widowControl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三、政府性基金预算支出情况</w:t>
      </w:r>
    </w:p>
    <w:p>
      <w:pPr>
        <w:pStyle w:val="11"/>
        <w:widowControl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本单位无政府性基金预算</w:t>
      </w:r>
    </w:p>
    <w:p>
      <w:pPr>
        <w:pStyle w:val="11"/>
        <w:widowControl/>
        <w:numPr>
          <w:ilvl w:val="0"/>
          <w:numId w:val="3"/>
        </w:numPr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国有资本经营预算支出情况</w:t>
      </w:r>
    </w:p>
    <w:p>
      <w:pPr>
        <w:pStyle w:val="11"/>
        <w:widowControl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本单位无国有资本经营预算。</w:t>
      </w:r>
    </w:p>
    <w:p>
      <w:pPr>
        <w:pStyle w:val="11"/>
        <w:widowControl/>
        <w:numPr>
          <w:ilvl w:val="0"/>
          <w:numId w:val="3"/>
        </w:numPr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社会保险基金预算支出情况</w:t>
      </w:r>
    </w:p>
    <w:p>
      <w:pPr>
        <w:pStyle w:val="11"/>
        <w:widowControl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本单位无社会保险基金预算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val="zh-CN" w:bidi="zh-CN"/>
        </w:rPr>
      </w:pPr>
      <w:r>
        <w:rPr>
          <w:rFonts w:hint="eastAsia" w:eastAsia="仿宋_GB2312"/>
          <w:kern w:val="0"/>
          <w:sz w:val="32"/>
          <w:szCs w:val="32"/>
          <w:lang w:val="zh-CN" w:bidi="zh-CN"/>
        </w:rPr>
        <w:t>本单位对照《衡阳市财政局关于开展202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年度市直预算部门整体支出财政绩效评价的通知》文件考核指标，从部门整体的目标设定、预算配置、预算执行、预算管理、资产管理、职责履行、履职效益等指标完成情况和部门专项支出的管理、使用、效益情况进行评价等多个方面，对</w:t>
      </w:r>
      <w:r>
        <w:rPr>
          <w:rFonts w:hint="eastAsia" w:eastAsia="仿宋_GB2312"/>
          <w:kern w:val="0"/>
          <w:sz w:val="32"/>
          <w:szCs w:val="32"/>
          <w:lang w:bidi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</w:t>
      </w:r>
      <w:r>
        <w:rPr>
          <w:rFonts w:hint="eastAsia" w:eastAsia="仿宋_GB2312"/>
          <w:kern w:val="0"/>
          <w:sz w:val="32"/>
          <w:szCs w:val="32"/>
          <w:lang w:bidi="zh-CN"/>
        </w:rPr>
        <w:t>年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部门整体支出绩效进行了综合评议，具体绩效情况如下：</w:t>
      </w:r>
      <w:bookmarkStart w:id="0" w:name="_Toc9559"/>
      <w:bookmarkStart w:id="1" w:name="_Toc16359"/>
      <w:bookmarkStart w:id="2" w:name="_Toc9300"/>
    </w:p>
    <w:p>
      <w:pPr>
        <w:pStyle w:val="12"/>
        <w:autoSpaceDE w:val="0"/>
        <w:autoSpaceDN w:val="0"/>
        <w:spacing w:line="600" w:lineRule="exact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（一）目标设定</w:t>
      </w:r>
      <w:bookmarkEnd w:id="0"/>
      <w:bookmarkEnd w:id="1"/>
      <w:r>
        <w:rPr>
          <w:rFonts w:hint="eastAsia" w:ascii="楷体" w:hAnsi="楷体" w:eastAsia="楷体" w:cs="楷体"/>
        </w:rPr>
        <w:t>10分</w:t>
      </w:r>
      <w:bookmarkEnd w:id="2"/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val="zh-CN" w:bidi="zh-CN"/>
        </w:rPr>
      </w:pPr>
      <w:r>
        <w:rPr>
          <w:rFonts w:hint="eastAsia" w:eastAsia="仿宋_GB2312"/>
          <w:kern w:val="0"/>
          <w:sz w:val="32"/>
          <w:szCs w:val="32"/>
          <w:lang w:val="zh-CN" w:bidi="zh-CN"/>
        </w:rPr>
        <w:t>本单位设定202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年整体绩效目标。绩效目标明确、合理，符合年度工作计划。满分</w:t>
      </w:r>
      <w:r>
        <w:rPr>
          <w:rFonts w:hint="eastAsia" w:eastAsia="仿宋_GB2312"/>
          <w:kern w:val="0"/>
          <w:sz w:val="32"/>
          <w:szCs w:val="32"/>
          <w:lang w:bidi="zh-CN"/>
        </w:rPr>
        <w:t>10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分，得分</w:t>
      </w:r>
      <w:r>
        <w:rPr>
          <w:rFonts w:hint="eastAsia" w:eastAsia="仿宋_GB2312"/>
          <w:kern w:val="0"/>
          <w:sz w:val="32"/>
          <w:szCs w:val="32"/>
          <w:lang w:bidi="zh-CN"/>
        </w:rPr>
        <w:t>10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分。</w:t>
      </w:r>
    </w:p>
    <w:p>
      <w:pPr>
        <w:pStyle w:val="12"/>
        <w:autoSpaceDE w:val="0"/>
        <w:autoSpaceDN w:val="0"/>
        <w:spacing w:line="600" w:lineRule="exact"/>
      </w:pPr>
      <w:bookmarkStart w:id="3" w:name="_Toc7061"/>
      <w:bookmarkStart w:id="4" w:name="_Toc5612"/>
      <w:r>
        <w:rPr>
          <w:rFonts w:hint="eastAsia"/>
        </w:rPr>
        <w:t>（二）预算配置</w:t>
      </w:r>
      <w:bookmarkEnd w:id="3"/>
      <w:r>
        <w:rPr>
          <w:rFonts w:hint="eastAsia"/>
        </w:rPr>
        <w:t>5分</w:t>
      </w:r>
      <w:bookmarkEnd w:id="4"/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val="zh-CN"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1.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在职人员控制率：定编2</w:t>
      </w:r>
      <w:r>
        <w:rPr>
          <w:rFonts w:hint="eastAsia" w:eastAsia="仿宋_GB2312"/>
          <w:kern w:val="0"/>
          <w:sz w:val="32"/>
          <w:szCs w:val="32"/>
          <w:lang w:bidi="zh-CN"/>
        </w:rPr>
        <w:t>9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人，在职2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8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人。在职人员控制率为</w:t>
      </w:r>
      <w:r>
        <w:rPr>
          <w:rFonts w:hint="eastAsia" w:eastAsia="仿宋_GB2312"/>
          <w:kern w:val="0"/>
          <w:sz w:val="32"/>
          <w:szCs w:val="32"/>
          <w:lang w:bidi="zh-CN"/>
        </w:rPr>
        <w:t>9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6.55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%，编制节余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1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人。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val="zh-CN"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2.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“三公经费”变动率：202</w:t>
      </w:r>
      <w:r>
        <w:rPr>
          <w:rFonts w:hint="eastAsia" w:eastAsia="仿宋_GB2312"/>
          <w:kern w:val="0"/>
          <w:sz w:val="32"/>
          <w:szCs w:val="32"/>
          <w:lang w:bidi="zh-CN"/>
        </w:rPr>
        <w:t>3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年“三公经费”预算</w:t>
      </w:r>
      <w:r>
        <w:rPr>
          <w:rFonts w:hint="eastAsia" w:eastAsia="仿宋_GB2312"/>
          <w:kern w:val="0"/>
          <w:sz w:val="32"/>
          <w:szCs w:val="32"/>
          <w:lang w:bidi="zh-CN"/>
        </w:rPr>
        <w:t>4.75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万元，202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年“三公经费”预算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6.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5万元，增加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1.75</w:t>
      </w:r>
      <w:r>
        <w:rPr>
          <w:rFonts w:hint="eastAsia" w:eastAsia="仿宋_GB2312"/>
          <w:kern w:val="0"/>
          <w:sz w:val="32"/>
          <w:szCs w:val="32"/>
          <w:lang w:bidi="zh-CN"/>
        </w:rPr>
        <w:t>万元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。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val="zh-CN" w:bidi="zh-CN"/>
        </w:rPr>
      </w:pPr>
      <w:r>
        <w:rPr>
          <w:rFonts w:hint="eastAsia" w:eastAsia="仿宋_GB2312"/>
          <w:kern w:val="0"/>
          <w:sz w:val="32"/>
          <w:szCs w:val="32"/>
          <w:lang w:val="zh-CN" w:bidi="zh-CN"/>
        </w:rPr>
        <w:t>满分</w:t>
      </w:r>
      <w:r>
        <w:rPr>
          <w:rFonts w:hint="eastAsia" w:eastAsia="仿宋_GB2312"/>
          <w:kern w:val="0"/>
          <w:sz w:val="32"/>
          <w:szCs w:val="32"/>
          <w:lang w:bidi="zh-CN"/>
        </w:rPr>
        <w:t>5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分，得分</w:t>
      </w:r>
      <w:r>
        <w:rPr>
          <w:rFonts w:hint="eastAsia" w:eastAsia="仿宋_GB2312"/>
          <w:kern w:val="0"/>
          <w:sz w:val="32"/>
          <w:szCs w:val="32"/>
          <w:lang w:bidi="zh-CN"/>
        </w:rPr>
        <w:t>5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分。</w:t>
      </w:r>
    </w:p>
    <w:p>
      <w:pPr>
        <w:pStyle w:val="12"/>
        <w:autoSpaceDE w:val="0"/>
        <w:autoSpaceDN w:val="0"/>
        <w:spacing w:line="600" w:lineRule="exact"/>
      </w:pPr>
      <w:bookmarkStart w:id="5" w:name="_Toc5001"/>
      <w:bookmarkStart w:id="6" w:name="_Toc6976"/>
      <w:r>
        <w:rPr>
          <w:rFonts w:hint="eastAsia"/>
        </w:rPr>
        <w:t>（三）预算执行</w:t>
      </w:r>
      <w:bookmarkEnd w:id="5"/>
      <w:r>
        <w:rPr>
          <w:rFonts w:hint="eastAsia"/>
        </w:rPr>
        <w:t>10分</w:t>
      </w:r>
      <w:bookmarkEnd w:id="6"/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val="zh-CN" w:bidi="zh-CN"/>
        </w:rPr>
      </w:pPr>
      <w:bookmarkStart w:id="7" w:name="_Toc7514"/>
      <w:bookmarkStart w:id="8" w:name="_Toc28820"/>
      <w:bookmarkStart w:id="9" w:name="_Toc14872"/>
      <w:bookmarkStart w:id="10" w:name="_Toc16116"/>
      <w:bookmarkStart w:id="11" w:name="_Toc26260"/>
      <w:r>
        <w:rPr>
          <w:rFonts w:hint="eastAsia" w:eastAsia="仿宋_GB2312"/>
          <w:kern w:val="0"/>
          <w:sz w:val="32"/>
          <w:szCs w:val="32"/>
          <w:lang w:val="zh-CN" w:bidi="zh-CN"/>
        </w:rPr>
        <w:t>1.预算完成</w:t>
      </w:r>
      <w:bookmarkEnd w:id="7"/>
      <w:bookmarkEnd w:id="8"/>
      <w:bookmarkEnd w:id="9"/>
      <w:bookmarkEnd w:id="10"/>
      <w:bookmarkEnd w:id="11"/>
      <w:bookmarkStart w:id="12" w:name="_Toc16019"/>
      <w:r>
        <w:rPr>
          <w:rFonts w:hint="eastAsia" w:eastAsia="仿宋_GB2312"/>
          <w:kern w:val="0"/>
          <w:sz w:val="32"/>
          <w:szCs w:val="32"/>
          <w:lang w:val="zh-CN" w:bidi="zh-CN"/>
        </w:rPr>
        <w:t>率</w:t>
      </w:r>
      <w:bookmarkStart w:id="13" w:name="_Toc30961"/>
      <w:bookmarkStart w:id="14" w:name="_Toc9496"/>
      <w:bookmarkStart w:id="15" w:name="_Toc19103"/>
      <w:bookmarkStart w:id="16" w:name="_Toc9017"/>
      <w:r>
        <w:rPr>
          <w:rFonts w:hint="eastAsia" w:eastAsia="仿宋_GB2312"/>
          <w:kern w:val="0"/>
          <w:sz w:val="32"/>
          <w:szCs w:val="32"/>
          <w:lang w:val="zh-CN" w:bidi="zh-CN"/>
        </w:rPr>
        <w:t>：</w:t>
      </w:r>
      <w:r>
        <w:rPr>
          <w:rFonts w:hint="eastAsia" w:eastAsia="仿宋_GB2312"/>
          <w:kern w:val="0"/>
          <w:sz w:val="32"/>
          <w:szCs w:val="32"/>
          <w:lang w:bidi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</w:t>
      </w:r>
      <w:r>
        <w:rPr>
          <w:rFonts w:hint="eastAsia" w:eastAsia="仿宋_GB2312"/>
          <w:kern w:val="0"/>
          <w:sz w:val="32"/>
          <w:szCs w:val="32"/>
          <w:lang w:bidi="zh-CN"/>
        </w:rPr>
        <w:t>年全年预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算收入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7500.55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万元，202</w:t>
      </w:r>
      <w:r>
        <w:rPr>
          <w:rFonts w:hint="eastAsia" w:eastAsia="仿宋_GB2312"/>
          <w:kern w:val="0"/>
          <w:sz w:val="32"/>
          <w:szCs w:val="32"/>
          <w:lang w:bidi="zh-CN"/>
        </w:rPr>
        <w:t>3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年支出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7500.5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万元</w:t>
      </w:r>
      <w:bookmarkEnd w:id="12"/>
      <w:bookmarkEnd w:id="13"/>
      <w:bookmarkEnd w:id="14"/>
      <w:bookmarkEnd w:id="15"/>
      <w:bookmarkEnd w:id="16"/>
      <w:r>
        <w:rPr>
          <w:rFonts w:hint="eastAsia" w:eastAsia="仿宋_GB2312"/>
          <w:kern w:val="0"/>
          <w:sz w:val="32"/>
          <w:szCs w:val="32"/>
          <w:lang w:val="zh-CN" w:bidi="zh-CN"/>
        </w:rPr>
        <w:t>，执行率</w:t>
      </w:r>
      <w:r>
        <w:rPr>
          <w:rFonts w:hint="eastAsia" w:eastAsia="仿宋_GB2312"/>
          <w:kern w:val="0"/>
          <w:sz w:val="32"/>
          <w:szCs w:val="32"/>
          <w:lang w:bidi="zh-CN"/>
        </w:rPr>
        <w:t>100%。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满分2分，得分</w:t>
      </w:r>
      <w:r>
        <w:rPr>
          <w:rFonts w:hint="eastAsia" w:eastAsia="仿宋_GB2312"/>
          <w:kern w:val="0"/>
          <w:sz w:val="32"/>
          <w:szCs w:val="32"/>
          <w:lang w:bidi="zh-CN"/>
        </w:rPr>
        <w:t>2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分。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val="zh-CN"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2.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支付进度：</w:t>
      </w:r>
      <w:r>
        <w:rPr>
          <w:rFonts w:hint="eastAsia" w:eastAsia="仿宋_GB2312"/>
          <w:kern w:val="0"/>
          <w:sz w:val="32"/>
          <w:szCs w:val="32"/>
          <w:lang w:bidi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</w:t>
      </w:r>
      <w:r>
        <w:rPr>
          <w:rFonts w:hint="eastAsia" w:eastAsia="仿宋_GB2312"/>
          <w:kern w:val="0"/>
          <w:sz w:val="32"/>
          <w:szCs w:val="32"/>
          <w:lang w:bidi="zh-CN"/>
        </w:rPr>
        <w:t>年支付进度100%。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满分</w:t>
      </w:r>
      <w:r>
        <w:rPr>
          <w:rFonts w:hint="eastAsia" w:eastAsia="仿宋_GB2312"/>
          <w:kern w:val="0"/>
          <w:sz w:val="32"/>
          <w:szCs w:val="32"/>
          <w:lang w:bidi="zh-CN"/>
        </w:rPr>
        <w:t>2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分，得分</w:t>
      </w:r>
      <w:r>
        <w:rPr>
          <w:rFonts w:hint="eastAsia" w:eastAsia="仿宋_GB2312"/>
          <w:kern w:val="0"/>
          <w:sz w:val="32"/>
          <w:szCs w:val="32"/>
          <w:lang w:bidi="zh-CN"/>
        </w:rPr>
        <w:t>2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分。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val="zh-CN"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3.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“三公经费”控制率：</w:t>
      </w:r>
      <w:r>
        <w:rPr>
          <w:rFonts w:hint="eastAsia" w:eastAsia="仿宋_GB2312"/>
          <w:kern w:val="0"/>
          <w:sz w:val="32"/>
          <w:szCs w:val="32"/>
          <w:lang w:bidi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</w:t>
      </w:r>
      <w:r>
        <w:rPr>
          <w:rFonts w:hint="eastAsia" w:eastAsia="仿宋_GB2312"/>
          <w:kern w:val="0"/>
          <w:sz w:val="32"/>
          <w:szCs w:val="32"/>
          <w:lang w:bidi="zh-CN"/>
        </w:rPr>
        <w:t>年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“三公”经费预算为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6.75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万元，年度决算为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2.82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万元，控制率为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41.78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%。满分2分，得分2分。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val="zh-CN"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4.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政府采购节资率：未超支。满分</w:t>
      </w:r>
      <w:r>
        <w:rPr>
          <w:rFonts w:hint="eastAsia" w:eastAsia="仿宋_GB2312"/>
          <w:kern w:val="0"/>
          <w:sz w:val="32"/>
          <w:szCs w:val="32"/>
          <w:lang w:bidi="zh-CN"/>
        </w:rPr>
        <w:t>2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分，得分</w:t>
      </w:r>
      <w:r>
        <w:rPr>
          <w:rFonts w:hint="eastAsia" w:eastAsia="仿宋_GB2312"/>
          <w:kern w:val="0"/>
          <w:sz w:val="32"/>
          <w:szCs w:val="32"/>
          <w:lang w:bidi="zh-CN"/>
        </w:rPr>
        <w:t>2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分。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val="zh-CN"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5.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政府采购执行率：政府采购，应采尽采。满分2分，得分2分。</w:t>
      </w:r>
    </w:p>
    <w:p>
      <w:pPr>
        <w:pStyle w:val="12"/>
        <w:autoSpaceDE w:val="0"/>
        <w:autoSpaceDN w:val="0"/>
        <w:spacing w:line="600" w:lineRule="exact"/>
      </w:pPr>
      <w:bookmarkStart w:id="17" w:name="_Toc10836"/>
      <w:bookmarkStart w:id="18" w:name="_Toc3164"/>
      <w:r>
        <w:rPr>
          <w:rFonts w:hint="eastAsia"/>
        </w:rPr>
        <w:t>（四）预算管理</w:t>
      </w:r>
      <w:bookmarkEnd w:id="17"/>
      <w:r>
        <w:rPr>
          <w:rFonts w:hint="eastAsia"/>
        </w:rPr>
        <w:t>10分</w:t>
      </w:r>
      <w:bookmarkEnd w:id="18"/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val="zh-CN"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1.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管理制度方面：本单位有设立内部财务管理制度等管理制度。满分2分，得分2分。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2.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资金使用方面：本单位充分发挥财政预算资金效益。满分4分，得分</w:t>
      </w:r>
      <w:r>
        <w:rPr>
          <w:rFonts w:hint="eastAsia" w:eastAsia="仿宋_GB2312"/>
          <w:kern w:val="0"/>
          <w:sz w:val="32"/>
          <w:szCs w:val="32"/>
          <w:lang w:bidi="zh-CN"/>
        </w:rPr>
        <w:t>4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分。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val="zh-CN"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3.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预决算信息公开性方面：本单位已建立门户网站，按照相关要求及时公开预决算信息。满分2分，得分2分。</w:t>
      </w:r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val="zh-CN" w:bidi="zh-CN"/>
        </w:rPr>
      </w:pPr>
      <w:r>
        <w:rPr>
          <w:rFonts w:hint="eastAsia" w:eastAsia="仿宋_GB2312"/>
          <w:kern w:val="0"/>
          <w:sz w:val="32"/>
          <w:szCs w:val="32"/>
          <w:lang w:bidi="zh-CN"/>
        </w:rPr>
        <w:t>4.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基础信息完善性方面：本单位基础数据信息和会计信息资料基本真实、准确，内容相对完整。满分2分，得分2分。</w:t>
      </w:r>
    </w:p>
    <w:p>
      <w:pPr>
        <w:pStyle w:val="12"/>
        <w:autoSpaceDE w:val="0"/>
        <w:autoSpaceDN w:val="0"/>
        <w:spacing w:line="600" w:lineRule="exact"/>
      </w:pPr>
      <w:bookmarkStart w:id="19" w:name="_Toc7871"/>
      <w:bookmarkStart w:id="20" w:name="_Toc18286"/>
      <w:r>
        <w:rPr>
          <w:rFonts w:hint="eastAsia"/>
        </w:rPr>
        <w:t>（五）资产管理</w:t>
      </w:r>
      <w:bookmarkEnd w:id="19"/>
      <w:r>
        <w:rPr>
          <w:rFonts w:hint="eastAsia"/>
        </w:rPr>
        <w:t>5分</w:t>
      </w:r>
      <w:bookmarkEnd w:id="20"/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val="zh-CN" w:bidi="zh-CN"/>
        </w:rPr>
      </w:pPr>
      <w:r>
        <w:rPr>
          <w:rFonts w:hint="eastAsia" w:eastAsia="仿宋_GB2312"/>
          <w:kern w:val="0"/>
          <w:sz w:val="32"/>
          <w:szCs w:val="32"/>
          <w:lang w:val="zh-CN" w:bidi="zh-CN"/>
        </w:rPr>
        <w:t>本单位具有资产管理制度，资产管理制度合法、合规、完整，执行有效。资产配置比较合理，符合省定标准。资产保存比较完整，资产账务管理合规。满分5分，得分5分。</w:t>
      </w:r>
    </w:p>
    <w:p>
      <w:pPr>
        <w:pStyle w:val="12"/>
        <w:autoSpaceDE w:val="0"/>
        <w:autoSpaceDN w:val="0"/>
        <w:spacing w:line="600" w:lineRule="exact"/>
        <w:rPr>
          <w:highlight w:val="none"/>
        </w:rPr>
      </w:pPr>
      <w:bookmarkStart w:id="21" w:name="_Toc6598"/>
      <w:bookmarkStart w:id="22" w:name="_Toc30198"/>
      <w:r>
        <w:rPr>
          <w:rFonts w:hint="eastAsia"/>
          <w:highlight w:val="none"/>
        </w:rPr>
        <w:t>（六）职责履行</w:t>
      </w:r>
      <w:bookmarkEnd w:id="21"/>
      <w:r>
        <w:rPr>
          <w:rFonts w:hint="eastAsia"/>
          <w:highlight w:val="none"/>
        </w:rPr>
        <w:t>3</w:t>
      </w:r>
      <w:r>
        <w:rPr>
          <w:highlight w:val="none"/>
        </w:rPr>
        <w:t>0</w:t>
      </w:r>
      <w:r>
        <w:rPr>
          <w:rFonts w:hint="eastAsia"/>
          <w:highlight w:val="none"/>
        </w:rPr>
        <w:t>分</w:t>
      </w:r>
      <w:bookmarkEnd w:id="2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23" w:name="_Toc27219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1.持续强化统一权属。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明确“尊重历史、特事特办、守牢底线、强化责任”的办理原则，按照“两图两证明”的办理程序，联合各职能部门大力推动解决权属办理历史遗留问题。截至目前，市直机关单位已明确应登记至我局名下的房屋产权面积共有109.62万平方米，已办理房屋权证面积76.72万平方米，需注销面积1.46万平方米，余下31.44万平方米待办。权属办理工作进度全省领先，相关经验得到省局推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2.不断优化统一配置。做好机构改革办公用房保障，依规调整市人大、市发改委、市委社工部、市农业农村局等单位的办公场所，按要求做好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提质改造工作，依计划组织搬迁工作。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支持旅发大会等中心工作和科研、法律、教育等事业发展，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为各相关单位和公益性机构共调剂资产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10余处，</w:t>
      </w:r>
      <w:r>
        <w:rPr>
          <w:rFonts w:ascii="仿宋_GB2312" w:hAnsi="华文楷体" w:eastAsia="仿宋_GB2312" w:cs="华文楷体"/>
          <w:b w:val="0"/>
          <w:bCs w:val="0"/>
          <w:color w:val="000000"/>
          <w:sz w:val="32"/>
          <w:szCs w:val="32"/>
        </w:rPr>
        <w:t>总面积约</w:t>
      </w:r>
      <w:r>
        <w:rPr>
          <w:rFonts w:hint="eastAsia" w:ascii="仿宋_GB2312" w:hAnsi="华文楷体" w:eastAsia="仿宋_GB2312" w:cs="华文楷体"/>
          <w:b w:val="0"/>
          <w:bCs w:val="0"/>
          <w:color w:val="000000"/>
          <w:sz w:val="32"/>
          <w:szCs w:val="32"/>
          <w:lang w:val="en-US" w:eastAsia="zh-CN"/>
        </w:rPr>
        <w:t>2.8万</w:t>
      </w:r>
      <w:r>
        <w:rPr>
          <w:rFonts w:hint="eastAsia" w:ascii="Segoe UI Symbol" w:hAnsi="Segoe UI Symbol" w:eastAsia="Segoe UI Symbol" w:cs="Segoe UI Symbol"/>
          <w:b w:val="0"/>
          <w:bCs w:val="0"/>
          <w:color w:val="000000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。助力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/>
        </w:rPr>
        <w:t>市直融资平台建设，在此前划转5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en"/>
        </w:rPr>
        <w:t>.33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/>
        </w:rPr>
        <w:t>万平米房产的基础上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/>
        </w:rPr>
        <w:t>计划再次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约7亿元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经营性资产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/>
        </w:rPr>
        <w:t>到市国投公司，做大市属国有企业资产规模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，助力化解债务风险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坚持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“三严”公务用车管理模式，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按照“先计划后审批”原则规范公车购置程序，落实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“应采尽采、能配尽配”的新能源汽车购置要求。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市直单位全年共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购置车辆48台，其中新能源汽车45台，购置占比达到93.7%。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3.扎实推进统一管理。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同步推进公物仓实体仓和虚拟仓建设，完成公物仓选址、竣工验收、制度建设等相关工作，确保相关资产应入尽入，仓内资产应用尽用。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完善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干部周转住房管理制度，严抓周转住房问题整改，妥善做好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4名厅局级干部的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周转房入住、腾退工作。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扎实做好经营性资产托管和绩效考核相关工作，“一户一册”对资产进行分类整理，有效解决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市北办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、市交通局等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多处经营性资产租赁问题，及时追回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所欠缴租金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全年共收缴租金1000余万元。按计划实施公务用车集中统一管理，做好公务用车常态化审批监督，有效开展全市公务用车专项清理工作。在全市公务用车未完全实行集中管理的情况下，克服困难、统筹协调，从各单位共抽调94名驾驶人员、94辆车辆参与保障，并安排5名专职调度人员在重要点位24小时驻场调度。旅发大会期间累计用车600余次，接送人数1100余人次，行驶9000余公里，实现车辆保障零差错、零投诉、零事故，高标准完成了湖南省第三节旅发大会用车保障任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4.严格标准统一处置。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严把资产“出口关”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，认真履行国有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资产处置审批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职责，全年共审批处置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15家单位的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通用资产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8.01万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件，资产原值1099.14万元，残值收入及时足额上缴财政非税专户。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支持衡州监狱机构改革收归省级直管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市干部疗养院下划至南岳区政府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相关事项，指导市强戒所、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市疾控中心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等单位有序做好资产移交。成功举办年度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公车拍卖会，全场共成交公车25辆，成交总价约40万元，平均溢价率73.13%，最高溢价率达326%，最大限度实现了国有资产保值增值。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5.依法依规统一维修。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合理利用现有资源改善办公环境，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成立办公用房维护建设领导小组，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严格执行政策、严把预算关口、严管施工过程，依法依规依程序、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 w:eastAsia="zh-CN"/>
        </w:rPr>
        <w:t>安全高效推进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维修项目实施</w:t>
      </w:r>
      <w:r>
        <w:rPr>
          <w:rFonts w:hint="eastAsia" w:ascii="仿宋_GB2312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为党政机关高效运转提供了坚实保障。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截至目前，共承办全市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10个办公用房维修项目和1个新建项目，其中4个项目已完成施工并投入使用，其余项目正在有序推进。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厉行勤俭节约，推动节能降本增效。扎实开展能耗统计和2023年度能耗会审，召开全市公共机构光伏发电及合同能源管理推进培训会，积极推进光伏发电及合同能源项目建设，挑选出20家单位优先开展项目建设，建设总面积约7.88万平方米、装机容量约8.638MWp的光伏发电及合同能源项目。有效组织绿色办公、绿色出行、生活垃圾分类、节约用水“进机关”等专题宣传活动，倡导公众积极践行节约能源资源的绿色低碳生活理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扎实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年度机关运行成本统计调查工作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2023年全年机关运行成本总额同比减少21.42%，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其中公务接待费用和公务用车费用较上年分别减少47.71%和3.73%。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机关运行经费支出同比下降43.38%。</w:t>
      </w:r>
    </w:p>
    <w:p>
      <w:pPr>
        <w:pStyle w:val="12"/>
        <w:autoSpaceDE w:val="0"/>
        <w:autoSpaceDN w:val="0"/>
        <w:spacing w:line="600" w:lineRule="exact"/>
      </w:pPr>
      <w:r>
        <w:rPr>
          <w:rFonts w:hint="eastAsia"/>
        </w:rPr>
        <w:t>（七）履职效益3</w:t>
      </w:r>
      <w:r>
        <w:t>0</w:t>
      </w:r>
      <w:r>
        <w:rPr>
          <w:rFonts w:hint="eastAsia"/>
        </w:rPr>
        <w:t>分</w:t>
      </w:r>
      <w:bookmarkEnd w:id="23"/>
    </w:p>
    <w:p>
      <w:pPr>
        <w:pStyle w:val="11"/>
        <w:widowControl/>
        <w:spacing w:line="600" w:lineRule="exact"/>
        <w:ind w:firstLine="640"/>
        <w:rPr>
          <w:rFonts w:eastAsia="仿宋_GB2312"/>
          <w:kern w:val="0"/>
          <w:sz w:val="32"/>
          <w:szCs w:val="32"/>
          <w:lang w:val="zh-CN" w:bidi="zh-CN"/>
        </w:rPr>
      </w:pPr>
      <w:r>
        <w:rPr>
          <w:rFonts w:hint="eastAsia" w:eastAsia="仿宋_GB2312"/>
          <w:kern w:val="0"/>
          <w:sz w:val="32"/>
          <w:szCs w:val="32"/>
          <w:lang w:val="zh-CN" w:bidi="zh-CN"/>
        </w:rPr>
        <w:t>本单位按时完成机构“三定方案”规定的各项职能工作和市委、市政府交办的其他工作。围绕部门职责、行业发展规划，以预算资金管理为主线，总结部门资产管理和开展业务情况，从运行成本、管理效率、履职效能、社会效应、可持续发展能力和服务对象满意度等方面，202</w:t>
      </w:r>
      <w:r>
        <w:rPr>
          <w:rFonts w:hint="eastAsia" w:eastAsia="仿宋_GB2312"/>
          <w:kern w:val="0"/>
          <w:sz w:val="32"/>
          <w:szCs w:val="32"/>
          <w:lang w:val="en-US" w:bidi="zh-CN"/>
        </w:rPr>
        <w:t>4</w:t>
      </w:r>
      <w:r>
        <w:rPr>
          <w:rFonts w:hint="eastAsia" w:eastAsia="仿宋_GB2312"/>
          <w:kern w:val="0"/>
          <w:sz w:val="32"/>
          <w:szCs w:val="32"/>
          <w:lang w:val="zh-CN" w:bidi="zh-CN"/>
        </w:rPr>
        <w:t>年部门整体及核心业务均取得了良好发展。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lang w:bidi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zh-CN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bidi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zh-CN"/>
        </w:rPr>
        <w:t>年本单位整体支出绩效综合自评100分。</w:t>
      </w:r>
    </w:p>
    <w:p>
      <w:pPr>
        <w:pStyle w:val="11"/>
        <w:widowControl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>
      <w:pPr>
        <w:widowControl/>
        <w:spacing w:line="60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（一）年初预算安排不够充足</w:t>
      </w:r>
    </w:p>
    <w:p>
      <w:pPr>
        <w:pStyle w:val="5"/>
        <w:spacing w:line="600" w:lineRule="exact"/>
        <w:ind w:firstLine="642" w:firstLineChars="200"/>
        <w:jc w:val="both"/>
        <w:rPr>
          <w:rFonts w:hint="eastAsia" w:ascii="Times New Roman" w:hAnsi="Times New Roman" w:eastAsia="仿宋_GB2312"/>
          <w:sz w:val="32"/>
          <w:szCs w:val="32"/>
          <w:highlight w:val="yellow"/>
          <w:lang w:eastAsia="zh-CN"/>
        </w:rPr>
      </w:pPr>
      <w:r>
        <w:rPr>
          <w:rFonts w:hint="eastAsia" w:eastAsia="仿宋"/>
          <w:b/>
          <w:bCs/>
          <w:sz w:val="32"/>
          <w:szCs w:val="32"/>
        </w:rPr>
        <w:t>一是</w:t>
      </w:r>
      <w:r>
        <w:rPr>
          <w:rFonts w:hint="eastAsia" w:eastAsia="仿宋"/>
          <w:sz w:val="32"/>
          <w:szCs w:val="32"/>
        </w:rPr>
        <w:t>办公用房维修项目支出未纳入年初预算。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办公用房大中型维修资金需求量较大，目前实行“一事一议”，</w:t>
      </w:r>
      <w:r>
        <w:rPr>
          <w:rFonts w:hint="eastAsia" w:ascii="Times New Roman" w:hAnsi="Times New Roman" w:eastAsia="仿宋_GB2312"/>
          <w:sz w:val="32"/>
          <w:szCs w:val="32"/>
        </w:rPr>
        <w:t>无法提前主动开展工作，且预算指标下达与政府采购申报、财政投资评审在程序互为条件，无法做好绩效评价等工作。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/>
          <w:sz w:val="32"/>
          <w:szCs w:val="32"/>
        </w:rPr>
        <w:t>公务用车未安排配备更新预算。根据《湖南省党政机关公务用车管理实施办法》（湘办发〔2019〕13号）第十条“财政部门根据年度公务用车配备更新计划，按照预算管理有关规定统筹安排购置经费，列入公务用车主管部门预算”的要求，财政应每年根据公务用车配备更新计划统筹安排公车购置预算，专门用于编制内符合条件的车辆配备更新。现市直各单位更新车辆，大部分都无年初预算，资金来源均为自筹或追加，不符合财政预算和公务用车管理的要求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_GB2312"/>
          <w:sz w:val="32"/>
          <w:szCs w:val="32"/>
        </w:rPr>
        <w:t>部分不可预计支出未纳入年初预算。由于部分工作任务和情况突发性，部分支出无法预计并精准纳入年初预算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（二）预算绩效指标不够精细</w:t>
      </w:r>
    </w:p>
    <w:p>
      <w:pPr>
        <w:pStyle w:val="11"/>
        <w:widowControl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绩效指标应当从数量、质量、成本和时效等方面进行细化和量化，尽量进行定量描述，不能以量化形势表述的，采用定性的分级分档表述。在编制申报年度预算绩效目标时，部分绩效指标设定的较为笼统，不够精细。比如质量指标的定性表述不够具体详细，缺乏具体细化的定量表述。</w:t>
      </w:r>
    </w:p>
    <w:p>
      <w:pPr>
        <w:pStyle w:val="11"/>
        <w:widowControl/>
        <w:spacing w:line="600" w:lineRule="exact"/>
        <w:ind w:firstLine="643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（三）预算绩效管理不够专业</w:t>
      </w:r>
    </w:p>
    <w:p>
      <w:pPr>
        <w:pStyle w:val="11"/>
        <w:widowControl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在市财政逐步加强绩效管理的情况下，本单位财务人员面对当前绩效管理工作既没有现成的经验可借鉴，又缺乏专业性很强的技能储备，只能边工作、边学习、边积累，短期内部分工作只能停留在表面，难以做到程序规范、管理科学，难以满足当前绩效管理要求。</w:t>
      </w:r>
    </w:p>
    <w:p>
      <w:pPr>
        <w:widowControl/>
        <w:numPr>
          <w:ilvl w:val="0"/>
          <w:numId w:val="4"/>
        </w:num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下一步改进措施</w:t>
      </w:r>
    </w:p>
    <w:p>
      <w:pPr>
        <w:pStyle w:val="11"/>
        <w:widowControl/>
        <w:spacing w:line="600" w:lineRule="exact"/>
        <w:ind w:firstLine="643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（一）加强沟通，夯实预算编制基础</w:t>
      </w:r>
    </w:p>
    <w:p>
      <w:pPr>
        <w:pStyle w:val="11"/>
        <w:widowControl/>
        <w:spacing w:line="600" w:lineRule="exact"/>
        <w:ind w:firstLine="64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一方面加强与市财政局相关业务科室的沟通，争取安排未纳入年初预算的项目支出，加大财政预算经费保障。另一方面加强与业务科室的沟通和联系，取得更加精细化科学化的绩效目标，预编一部分不可预计费用，提高预算编制的科学性和前瞻性，助力预算编细编实。</w:t>
      </w:r>
    </w:p>
    <w:p>
      <w:pPr>
        <w:pStyle w:val="4"/>
        <w:numPr>
          <w:ilvl w:val="0"/>
          <w:numId w:val="2"/>
        </w:numPr>
        <w:spacing w:line="600" w:lineRule="exact"/>
        <w:ind w:left="0" w:leftChars="0" w:firstLine="642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加强管理，健全绩效指标体系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严格绩效管理，健全绩效指标体系，促进绩效指标更加精细化、科学化。在管理和使用预算资金的过程中，将更加突出资金使用绩效，按照绩效评价原则，开展资金安全性、规范性的监督，确保资金的使用符合绩效管理要求。</w:t>
      </w:r>
    </w:p>
    <w:p>
      <w:pPr>
        <w:pStyle w:val="4"/>
        <w:spacing w:line="600" w:lineRule="exact"/>
        <w:ind w:left="0" w:leftChars="0" w:firstLine="642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（三）加强培训，提升绩效管理水平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加强财务素养和专业技能培训，提升绩效管理水平。通过邀请财政局相关科室对我局开展培训的方式，或者组织财务人员外出参与国家会计学院的相关培训，学习预算绩效管理的法律法规和政策依据，了解预算绩效管理全过程中的绩效目标管理、绩效执行监控、绩效评价、评价结果应用各阶段的工作流程、要点和内容，吸收借鉴其他单位预算管理经验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九、其他需要说明的情况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">
    <w:panose1 w:val="020B0502040504020204"/>
    <w:charset w:val="00"/>
    <w:family w:val="auto"/>
    <w:pitch w:val="default"/>
    <w:sig w:usb0="E00002FF" w:usb1="00000000" w:usb2="00000000" w:usb3="00000000" w:csb0="200001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40F67"/>
    <w:multiLevelType w:val="singleLevel"/>
    <w:tmpl w:val="85240F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D55D28C"/>
    <w:multiLevelType w:val="singleLevel"/>
    <w:tmpl w:val="9D55D28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125BD47"/>
    <w:multiLevelType w:val="singleLevel"/>
    <w:tmpl w:val="3125BD4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6974B18"/>
    <w:multiLevelType w:val="singleLevel"/>
    <w:tmpl w:val="46974B1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863B"/>
    <w:rsid w:val="0EF81402"/>
    <w:rsid w:val="17FB7D3A"/>
    <w:rsid w:val="18DFBA90"/>
    <w:rsid w:val="22CCBEAF"/>
    <w:rsid w:val="24DFFD94"/>
    <w:rsid w:val="2CD30478"/>
    <w:rsid w:val="3E16DDC5"/>
    <w:rsid w:val="3FFFB356"/>
    <w:rsid w:val="47D6E6EF"/>
    <w:rsid w:val="49FF66BF"/>
    <w:rsid w:val="4FD7DB90"/>
    <w:rsid w:val="4FFFAF3B"/>
    <w:rsid w:val="5674032A"/>
    <w:rsid w:val="5B71030F"/>
    <w:rsid w:val="5B7FA59C"/>
    <w:rsid w:val="5FEF04E5"/>
    <w:rsid w:val="63FB50FE"/>
    <w:rsid w:val="6BF73372"/>
    <w:rsid w:val="6C63B493"/>
    <w:rsid w:val="6D661ED5"/>
    <w:rsid w:val="6E1F53E9"/>
    <w:rsid w:val="72FFAA9B"/>
    <w:rsid w:val="75F36875"/>
    <w:rsid w:val="77F8E53B"/>
    <w:rsid w:val="79BE0A24"/>
    <w:rsid w:val="7BDFFF38"/>
    <w:rsid w:val="7C2FD9CE"/>
    <w:rsid w:val="7C65F4F2"/>
    <w:rsid w:val="7CDF1DE7"/>
    <w:rsid w:val="7D52AB8D"/>
    <w:rsid w:val="7D79AA20"/>
    <w:rsid w:val="7DF30A1D"/>
    <w:rsid w:val="7EAF8A86"/>
    <w:rsid w:val="7FBF863B"/>
    <w:rsid w:val="7FDF5684"/>
    <w:rsid w:val="7FFF1B70"/>
    <w:rsid w:val="7FFF3385"/>
    <w:rsid w:val="97FF6E77"/>
    <w:rsid w:val="9FFD9D2A"/>
    <w:rsid w:val="AD7517C8"/>
    <w:rsid w:val="ADED49B3"/>
    <w:rsid w:val="AF5F9A35"/>
    <w:rsid w:val="BDCD5C89"/>
    <w:rsid w:val="BFEA8D82"/>
    <w:rsid w:val="CDEEF9C4"/>
    <w:rsid w:val="D7FC6D04"/>
    <w:rsid w:val="DF1D7786"/>
    <w:rsid w:val="DF7FDC46"/>
    <w:rsid w:val="DFD794A2"/>
    <w:rsid w:val="E4DD71F9"/>
    <w:rsid w:val="E7F306E0"/>
    <w:rsid w:val="EAFEA3B6"/>
    <w:rsid w:val="EEB3880E"/>
    <w:rsid w:val="EFBFC4D2"/>
    <w:rsid w:val="F1F7F917"/>
    <w:rsid w:val="F8CF70CF"/>
    <w:rsid w:val="FABFDB5B"/>
    <w:rsid w:val="FBEA649B"/>
    <w:rsid w:val="FBEB95F2"/>
    <w:rsid w:val="FC37287E"/>
    <w:rsid w:val="FC7F2927"/>
    <w:rsid w:val="FFBFAE0A"/>
    <w:rsid w:val="FFDFCDC8"/>
    <w:rsid w:val="FFFBBD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napToGrid w:val="0"/>
      <w:spacing w:beforeLines="100" w:line="360" w:lineRule="auto"/>
      <w:ind w:left="440" w:leftChars="200"/>
      <w:jc w:val="left"/>
      <w:outlineLvl w:val="1"/>
    </w:pPr>
    <w:rPr>
      <w:rFonts w:ascii="Arial" w:hAnsi="Arial" w:eastAsia="楷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line="372" w:lineRule="auto"/>
      <w:ind w:left="200" w:leftChars="200"/>
      <w:outlineLvl w:val="3"/>
    </w:pPr>
    <w:rPr>
      <w:rFonts w:ascii="Arial" w:hAnsi="Arial" w:eastAsia="仿宋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eastAsia="楷体_GB2312" w:cs="黑体"/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2">
    <w:name w:val="目录标题2"/>
    <w:basedOn w:val="3"/>
    <w:next w:val="1"/>
    <w:qFormat/>
    <w:uiPriority w:val="0"/>
    <w:pPr>
      <w:adjustRightInd w:val="0"/>
      <w:spacing w:beforeLines="0"/>
      <w:ind w:left="0" w:leftChars="0" w:firstLine="643" w:firstLineChars="200"/>
    </w:pPr>
    <w:rPr>
      <w:rFonts w:ascii="Times New Roman" w:hAnsi="Times New Roman" w:eastAsia="楷体_GB2312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1069.33333333333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2025-02-26T08:26:00Z</dcterms:created>
  <dc:creator>FrD</dc:creator>
  <cp:lastModifiedBy>FrD</cp:lastModifiedBy>
  <dcterms:modified xsi:type="dcterms:W3CDTF">2025-09-19T17:50:00Z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