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576BB">
      <w:pPr>
        <w:spacing w:afterLines="100"/>
        <w:rPr>
          <w:rFonts w:ascii="仿宋_GB2312" w:hAnsi="Times New Roman" w:eastAsia="仿宋_GB2312"/>
          <w:kern w:val="0"/>
          <w:sz w:val="32"/>
          <w:szCs w:val="32"/>
        </w:rPr>
      </w:pPr>
      <w:r>
        <w:rPr>
          <w:rFonts w:hint="eastAsia" w:ascii="仿宋_GB2312" w:hAnsi="Times New Roman" w:eastAsia="仿宋_GB2312"/>
          <w:kern w:val="0"/>
          <w:sz w:val="32"/>
          <w:szCs w:val="32"/>
        </w:rPr>
        <w:t>附件</w:t>
      </w:r>
      <w:r>
        <w:rPr>
          <w:rFonts w:ascii="仿宋_GB2312" w:hAnsi="Times New Roman" w:eastAsia="仿宋_GB2312"/>
          <w:kern w:val="0"/>
          <w:sz w:val="32"/>
          <w:szCs w:val="32"/>
        </w:rPr>
        <w:t>1</w:t>
      </w:r>
    </w:p>
    <w:p w14:paraId="4283A348">
      <w:pPr>
        <w:rPr>
          <w:rFonts w:ascii="Times New Roman" w:hAnsi="Times New Roman" w:eastAsia="黑体"/>
          <w:sz w:val="32"/>
          <w:szCs w:val="32"/>
        </w:rPr>
      </w:pPr>
    </w:p>
    <w:p w14:paraId="0742F123">
      <w:pPr>
        <w:spacing w:line="600" w:lineRule="exact"/>
        <w:jc w:val="center"/>
        <w:rPr>
          <w:rFonts w:asciiTheme="majorEastAsia" w:hAnsiTheme="majorEastAsia" w:eastAsiaTheme="majorEastAsia" w:cstheme="majorEastAsia"/>
          <w:b/>
          <w:bCs/>
          <w:sz w:val="44"/>
          <w:szCs w:val="44"/>
        </w:rPr>
      </w:pPr>
      <w:r>
        <w:rPr>
          <w:rFonts w:asciiTheme="majorEastAsia" w:hAnsiTheme="majorEastAsia" w:eastAsiaTheme="majorEastAsia" w:cstheme="majorEastAsia"/>
          <w:b/>
          <w:bCs/>
          <w:sz w:val="44"/>
          <w:szCs w:val="44"/>
        </w:rPr>
        <w:t>部门整体支出绩效自评报告</w:t>
      </w:r>
    </w:p>
    <w:p w14:paraId="47C038F4">
      <w:pPr>
        <w:spacing w:line="600" w:lineRule="exact"/>
        <w:jc w:val="center"/>
        <w:rPr>
          <w:rFonts w:asciiTheme="majorEastAsia" w:hAnsiTheme="majorEastAsia" w:eastAsiaTheme="majorEastAsia" w:cstheme="majorEastAsia"/>
          <w:b/>
          <w:bCs/>
          <w:sz w:val="44"/>
          <w:szCs w:val="44"/>
        </w:rPr>
      </w:pPr>
    </w:p>
    <w:p w14:paraId="121C8EFF">
      <w:pPr>
        <w:spacing w:line="600" w:lineRule="exact"/>
        <w:jc w:val="center"/>
        <w:rPr>
          <w:rFonts w:asciiTheme="majorEastAsia" w:hAnsiTheme="majorEastAsia" w:eastAsiaTheme="majorEastAsia" w:cstheme="majorEastAsia"/>
          <w:b/>
          <w:bCs/>
          <w:sz w:val="44"/>
          <w:szCs w:val="44"/>
        </w:rPr>
      </w:pPr>
    </w:p>
    <w:p w14:paraId="28CE1650">
      <w:pPr>
        <w:spacing w:line="60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w:t>
      </w:r>
      <w:r>
        <w:rPr>
          <w:rFonts w:asciiTheme="majorEastAsia" w:hAnsiTheme="majorEastAsia" w:eastAsiaTheme="majorEastAsia" w:cstheme="majorEastAsia"/>
          <w:b/>
          <w:bCs/>
          <w:sz w:val="44"/>
          <w:szCs w:val="44"/>
        </w:rPr>
        <w:t>202</w:t>
      </w:r>
      <w:r>
        <w:rPr>
          <w:rFonts w:hint="eastAsia" w:asciiTheme="majorEastAsia" w:hAnsiTheme="majorEastAsia" w:eastAsiaTheme="majorEastAsia" w:cstheme="majorEastAsia"/>
          <w:b/>
          <w:bCs/>
          <w:sz w:val="44"/>
          <w:szCs w:val="44"/>
        </w:rPr>
        <w:t>4年度）</w:t>
      </w:r>
    </w:p>
    <w:p w14:paraId="1CAFDAD2">
      <w:pPr>
        <w:spacing w:line="600" w:lineRule="exact"/>
        <w:jc w:val="center"/>
        <w:rPr>
          <w:rFonts w:asciiTheme="majorEastAsia" w:hAnsiTheme="majorEastAsia" w:eastAsiaTheme="majorEastAsia" w:cstheme="majorEastAsia"/>
          <w:b/>
          <w:bCs/>
          <w:sz w:val="44"/>
          <w:szCs w:val="44"/>
        </w:rPr>
      </w:pPr>
    </w:p>
    <w:p w14:paraId="2140FD6E">
      <w:pPr>
        <w:spacing w:line="600" w:lineRule="exact"/>
        <w:jc w:val="center"/>
        <w:rPr>
          <w:rFonts w:asciiTheme="majorEastAsia" w:hAnsiTheme="majorEastAsia" w:eastAsiaTheme="majorEastAsia" w:cstheme="majorEastAsia"/>
          <w:b/>
          <w:bCs/>
          <w:sz w:val="44"/>
          <w:szCs w:val="44"/>
        </w:rPr>
      </w:pPr>
    </w:p>
    <w:p w14:paraId="5AF9790C">
      <w:pPr>
        <w:spacing w:line="600" w:lineRule="exact"/>
        <w:jc w:val="center"/>
        <w:rPr>
          <w:rFonts w:asciiTheme="majorEastAsia" w:hAnsiTheme="majorEastAsia" w:eastAsiaTheme="majorEastAsia" w:cstheme="majorEastAsia"/>
          <w:b/>
          <w:bCs/>
          <w:sz w:val="44"/>
          <w:szCs w:val="44"/>
        </w:rPr>
      </w:pPr>
      <w:bookmarkStart w:id="0" w:name="_GoBack"/>
      <w:bookmarkEnd w:id="0"/>
    </w:p>
    <w:p w14:paraId="50F2A92D">
      <w:pPr>
        <w:spacing w:line="600" w:lineRule="exact"/>
        <w:jc w:val="center"/>
        <w:rPr>
          <w:rFonts w:asciiTheme="majorEastAsia" w:hAnsiTheme="majorEastAsia" w:eastAsiaTheme="majorEastAsia" w:cstheme="majorEastAsia"/>
          <w:b/>
          <w:bCs/>
          <w:sz w:val="44"/>
          <w:szCs w:val="44"/>
        </w:rPr>
      </w:pPr>
    </w:p>
    <w:p w14:paraId="11178416">
      <w:pPr>
        <w:spacing w:line="600" w:lineRule="exact"/>
        <w:jc w:val="center"/>
        <w:rPr>
          <w:rFonts w:asciiTheme="majorEastAsia" w:hAnsiTheme="majorEastAsia" w:eastAsiaTheme="majorEastAsia" w:cstheme="majorEastAsia"/>
          <w:b/>
          <w:bCs/>
          <w:sz w:val="44"/>
          <w:szCs w:val="44"/>
        </w:rPr>
      </w:pPr>
    </w:p>
    <w:p w14:paraId="2DDBE178">
      <w:pPr>
        <w:spacing w:line="60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 xml:space="preserve">    </w:t>
      </w:r>
      <w:r>
        <w:rPr>
          <w:rFonts w:asciiTheme="majorEastAsia" w:hAnsiTheme="majorEastAsia" w:eastAsiaTheme="majorEastAsia" w:cstheme="majorEastAsia"/>
          <w:b/>
          <w:bCs/>
          <w:sz w:val="44"/>
          <w:szCs w:val="44"/>
        </w:rPr>
        <w:t>单位名称</w:t>
      </w:r>
      <w:r>
        <w:rPr>
          <w:rFonts w:hint="eastAsia" w:asciiTheme="majorEastAsia" w:hAnsiTheme="majorEastAsia" w:eastAsiaTheme="majorEastAsia" w:cstheme="majorEastAsia"/>
          <w:b/>
          <w:bCs/>
          <w:sz w:val="44"/>
          <w:szCs w:val="44"/>
        </w:rPr>
        <w:t>：衡阳市市场监督管理事务中心（盖章）</w:t>
      </w:r>
    </w:p>
    <w:p w14:paraId="33273133">
      <w:pPr>
        <w:spacing w:line="600" w:lineRule="exact"/>
        <w:jc w:val="center"/>
        <w:rPr>
          <w:rFonts w:asciiTheme="majorEastAsia" w:hAnsiTheme="majorEastAsia" w:eastAsiaTheme="majorEastAsia" w:cstheme="majorEastAsia"/>
          <w:b/>
          <w:bCs/>
          <w:sz w:val="44"/>
          <w:szCs w:val="44"/>
        </w:rPr>
      </w:pPr>
    </w:p>
    <w:p w14:paraId="2B3EB628">
      <w:pPr>
        <w:spacing w:line="600" w:lineRule="exact"/>
        <w:jc w:val="center"/>
        <w:rPr>
          <w:rFonts w:asciiTheme="majorEastAsia" w:hAnsiTheme="majorEastAsia" w:eastAsiaTheme="majorEastAsia" w:cstheme="majorEastAsia"/>
          <w:b/>
          <w:bCs/>
          <w:sz w:val="44"/>
          <w:szCs w:val="44"/>
        </w:rPr>
      </w:pPr>
    </w:p>
    <w:p w14:paraId="30711056">
      <w:pPr>
        <w:spacing w:line="60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主要负责人签字</w:t>
      </w:r>
      <w:r>
        <w:rPr>
          <w:rFonts w:asciiTheme="majorEastAsia" w:hAnsiTheme="majorEastAsia" w:eastAsiaTheme="majorEastAsia" w:cstheme="majorEastAsia"/>
          <w:b/>
          <w:bCs/>
          <w:sz w:val="44"/>
          <w:szCs w:val="44"/>
        </w:rPr>
        <w:t>：</w:t>
      </w:r>
    </w:p>
    <w:p w14:paraId="65510F14">
      <w:pPr>
        <w:spacing w:line="600" w:lineRule="exact"/>
        <w:jc w:val="center"/>
        <w:rPr>
          <w:rFonts w:asciiTheme="majorEastAsia" w:hAnsiTheme="majorEastAsia" w:eastAsiaTheme="majorEastAsia" w:cstheme="majorEastAsia"/>
          <w:b/>
          <w:bCs/>
          <w:sz w:val="44"/>
          <w:szCs w:val="44"/>
        </w:rPr>
      </w:pPr>
    </w:p>
    <w:p w14:paraId="17A41239">
      <w:pPr>
        <w:spacing w:line="600" w:lineRule="exact"/>
        <w:jc w:val="center"/>
        <w:rPr>
          <w:rFonts w:asciiTheme="majorEastAsia" w:hAnsiTheme="majorEastAsia" w:eastAsiaTheme="majorEastAsia" w:cstheme="majorEastAsia"/>
          <w:b/>
          <w:bCs/>
          <w:sz w:val="44"/>
          <w:szCs w:val="44"/>
        </w:rPr>
      </w:pPr>
    </w:p>
    <w:p w14:paraId="5B831F54">
      <w:pPr>
        <w:spacing w:line="600" w:lineRule="exact"/>
        <w:jc w:val="center"/>
        <w:rPr>
          <w:rFonts w:asciiTheme="majorEastAsia" w:hAnsiTheme="majorEastAsia" w:eastAsiaTheme="majorEastAsia" w:cstheme="majorEastAsia"/>
          <w:b/>
          <w:bCs/>
          <w:sz w:val="44"/>
          <w:szCs w:val="44"/>
        </w:rPr>
      </w:pPr>
    </w:p>
    <w:p w14:paraId="3C4840ED">
      <w:pPr>
        <w:jc w:val="center"/>
        <w:rPr>
          <w:rFonts w:ascii="Times New Roman" w:hAnsi="Times New Roman" w:eastAsia="黑体"/>
          <w:sz w:val="32"/>
          <w:szCs w:val="32"/>
        </w:rPr>
      </w:pPr>
      <w:r>
        <w:rPr>
          <w:rFonts w:hint="eastAsia" w:ascii="Times New Roman" w:hAnsi="Times New Roman" w:eastAsia="黑体"/>
          <w:sz w:val="32"/>
          <w:szCs w:val="32"/>
        </w:rPr>
        <w:t>2025</w:t>
      </w:r>
      <w:r>
        <w:rPr>
          <w:rFonts w:ascii="Times New Roman" w:hAnsi="Times New Roman" w:eastAsia="黑体"/>
          <w:sz w:val="32"/>
          <w:szCs w:val="32"/>
        </w:rPr>
        <w:t>年</w:t>
      </w:r>
      <w:r>
        <w:rPr>
          <w:rFonts w:hint="eastAsia" w:ascii="Times New Roman" w:hAnsi="Times New Roman" w:eastAsia="黑体"/>
          <w:sz w:val="32"/>
          <w:szCs w:val="32"/>
        </w:rPr>
        <w:t>2</w:t>
      </w:r>
      <w:r>
        <w:rPr>
          <w:rFonts w:ascii="Times New Roman" w:hAnsi="Times New Roman" w:eastAsia="黑体"/>
          <w:sz w:val="32"/>
          <w:szCs w:val="32"/>
        </w:rPr>
        <w:t xml:space="preserve">月 </w:t>
      </w:r>
      <w:r>
        <w:rPr>
          <w:rFonts w:hint="eastAsia" w:ascii="Times New Roman" w:hAnsi="Times New Roman" w:eastAsia="黑体"/>
          <w:sz w:val="32"/>
          <w:szCs w:val="32"/>
        </w:rPr>
        <w:t xml:space="preserve">28 </w:t>
      </w:r>
      <w:r>
        <w:rPr>
          <w:rFonts w:ascii="Times New Roman" w:hAnsi="Times New Roman" w:eastAsia="黑体"/>
          <w:sz w:val="32"/>
          <w:szCs w:val="32"/>
        </w:rPr>
        <w:t>日</w:t>
      </w:r>
    </w:p>
    <w:p w14:paraId="0025FCA5">
      <w:pPr>
        <w:jc w:val="center"/>
        <w:rPr>
          <w:rFonts w:ascii="Times New Roman" w:hAnsi="Times New Roman" w:eastAsia="黑体"/>
          <w:b/>
          <w:bCs/>
          <w:sz w:val="32"/>
          <w:szCs w:val="32"/>
        </w:rPr>
      </w:pPr>
    </w:p>
    <w:p w14:paraId="1A2C6316">
      <w:pPr>
        <w:rPr>
          <w:rFonts w:ascii="Times New Roman" w:hAnsi="Times New Roman" w:eastAsia="黑体"/>
          <w:b/>
          <w:bCs/>
          <w:sz w:val="32"/>
          <w:szCs w:val="32"/>
        </w:rPr>
      </w:pPr>
    </w:p>
    <w:p w14:paraId="191C7BC1">
      <w:pPr>
        <w:jc w:val="center"/>
        <w:rPr>
          <w:rFonts w:ascii="Times New Roman" w:hAnsi="Times New Roman" w:eastAsia="黑体"/>
          <w:b/>
          <w:bCs/>
          <w:sz w:val="32"/>
          <w:szCs w:val="32"/>
        </w:rPr>
      </w:pPr>
    </w:p>
    <w:p w14:paraId="4E5B2B38">
      <w:pPr>
        <w:jc w:val="center"/>
        <w:rPr>
          <w:rFonts w:ascii="楷体" w:hAnsi="楷体" w:eastAsia="楷体" w:cs="楷体"/>
          <w:b/>
          <w:bCs/>
          <w:sz w:val="36"/>
          <w:szCs w:val="36"/>
        </w:rPr>
      </w:pPr>
    </w:p>
    <w:p w14:paraId="79A72898">
      <w:pPr>
        <w:jc w:val="center"/>
        <w:rPr>
          <w:rFonts w:ascii="Times New Roman" w:hAnsi="Times New Roman" w:eastAsia="黑体"/>
          <w:sz w:val="36"/>
          <w:szCs w:val="36"/>
        </w:rPr>
      </w:pPr>
    </w:p>
    <w:p w14:paraId="3521B1A9">
      <w:pPr>
        <w:jc w:val="center"/>
        <w:rPr>
          <w:rFonts w:ascii="Times New Roman" w:hAnsi="Times New Roman" w:eastAsia="黑体"/>
          <w:sz w:val="36"/>
          <w:szCs w:val="36"/>
        </w:rPr>
      </w:pPr>
    </w:p>
    <w:p w14:paraId="063CD251">
      <w:pPr>
        <w:jc w:val="center"/>
        <w:rPr>
          <w:rFonts w:ascii="Times New Roman" w:hAnsi="Times New Roman" w:eastAsia="黑体"/>
          <w:sz w:val="32"/>
          <w:szCs w:val="32"/>
        </w:rPr>
      </w:pPr>
    </w:p>
    <w:p w14:paraId="2BEE110A">
      <w:pPr>
        <w:jc w:val="center"/>
        <w:rPr>
          <w:rFonts w:ascii="Times New Roman" w:hAnsi="Times New Roman" w:eastAsia="黑体"/>
          <w:sz w:val="32"/>
          <w:szCs w:val="32"/>
        </w:rPr>
      </w:pPr>
    </w:p>
    <w:p w14:paraId="6E8021E7">
      <w:pPr>
        <w:jc w:val="center"/>
        <w:rPr>
          <w:rFonts w:ascii="Times New Roman" w:hAnsi="Times New Roman" w:eastAsia="黑体"/>
          <w:sz w:val="32"/>
          <w:szCs w:val="32"/>
        </w:rPr>
      </w:pPr>
    </w:p>
    <w:p w14:paraId="11802F23">
      <w:pPr>
        <w:jc w:val="center"/>
        <w:rPr>
          <w:rFonts w:ascii="Times New Roman" w:hAnsi="Times New Roman" w:eastAsia="黑体"/>
          <w:sz w:val="32"/>
          <w:szCs w:val="32"/>
        </w:rPr>
      </w:pPr>
    </w:p>
    <w:p w14:paraId="63A4C129">
      <w:pPr>
        <w:spacing w:line="60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衡阳市市场监督管理事务中心</w:t>
      </w:r>
    </w:p>
    <w:p w14:paraId="464DEF23">
      <w:pPr>
        <w:spacing w:line="600" w:lineRule="exact"/>
        <w:jc w:val="center"/>
        <w:rPr>
          <w:rFonts w:ascii="Times New Roman" w:hAnsi="Times New Roman" w:eastAsia="方正小标宋简体"/>
          <w:sz w:val="44"/>
          <w:szCs w:val="44"/>
        </w:rPr>
      </w:pPr>
      <w:r>
        <w:rPr>
          <w:rFonts w:hint="eastAsia" w:asciiTheme="majorEastAsia" w:hAnsiTheme="majorEastAsia" w:eastAsiaTheme="majorEastAsia" w:cstheme="majorEastAsia"/>
          <w:b/>
          <w:bCs/>
          <w:sz w:val="44"/>
          <w:szCs w:val="44"/>
        </w:rPr>
        <w:t>2024年度部门整体支出绩效自评报告</w:t>
      </w:r>
    </w:p>
    <w:p w14:paraId="30713F6F">
      <w:pPr>
        <w:rPr>
          <w:rFonts w:ascii="Times New Roman" w:hAnsi="Times New Roman" w:eastAsia="方正小标宋_GBK"/>
          <w:sz w:val="32"/>
          <w:szCs w:val="32"/>
        </w:rPr>
      </w:pPr>
    </w:p>
    <w:p w14:paraId="036F2FDA">
      <w:pPr>
        <w:pStyle w:val="9"/>
        <w:widowControl/>
        <w:numPr>
          <w:ilvl w:val="0"/>
          <w:numId w:val="1"/>
        </w:numPr>
        <w:ind w:firstLine="640"/>
        <w:rPr>
          <w:rFonts w:eastAsia="黑体"/>
          <w:sz w:val="32"/>
          <w:szCs w:val="32"/>
        </w:rPr>
      </w:pPr>
      <w:r>
        <w:rPr>
          <w:rFonts w:hint="eastAsia" w:eastAsia="黑体"/>
          <w:sz w:val="32"/>
          <w:szCs w:val="32"/>
        </w:rPr>
        <w:t>单位基本情况</w:t>
      </w:r>
    </w:p>
    <w:p w14:paraId="36109038">
      <w:pPr>
        <w:pStyle w:val="9"/>
        <w:widowControl/>
        <w:ind w:firstLine="640"/>
        <w:rPr>
          <w:rFonts w:ascii="仿宋" w:hAnsi="仿宋" w:eastAsia="仿宋" w:cs="仿宋"/>
          <w:sz w:val="32"/>
          <w:szCs w:val="32"/>
        </w:rPr>
      </w:pPr>
      <w:r>
        <w:rPr>
          <w:rFonts w:hint="eastAsia" w:ascii="仿宋" w:hAnsi="仿宋" w:eastAsia="仿宋" w:cs="仿宋"/>
          <w:color w:val="414141"/>
          <w:sz w:val="32"/>
          <w:szCs w:val="32"/>
        </w:rPr>
        <w:t>衡阳市市场监督管理事务中心</w:t>
      </w:r>
      <w:r>
        <w:rPr>
          <w:rFonts w:hint="eastAsia" w:ascii="仿宋" w:hAnsi="仿宋" w:eastAsia="仿宋" w:cs="仿宋"/>
          <w:sz w:val="32"/>
          <w:szCs w:val="32"/>
        </w:rPr>
        <w:t>为市市场监督管理局所属正科级公益一类事业单位，主要负责全市农贸市场管理服务工作，为市场监管和执法提供信息服务。</w:t>
      </w:r>
    </w:p>
    <w:p w14:paraId="4B8A8D08">
      <w:pPr>
        <w:pStyle w:val="9"/>
        <w:widowControl/>
        <w:numPr>
          <w:ilvl w:val="0"/>
          <w:numId w:val="2"/>
        </w:numPr>
        <w:ind w:firstLine="643"/>
        <w:rPr>
          <w:rFonts w:ascii="楷体" w:hAnsi="楷体" w:eastAsia="楷体" w:cs="楷体"/>
          <w:b/>
          <w:bCs/>
          <w:sz w:val="32"/>
          <w:szCs w:val="32"/>
        </w:rPr>
      </w:pPr>
      <w:r>
        <w:rPr>
          <w:rFonts w:hint="eastAsia" w:ascii="楷体" w:hAnsi="楷体" w:eastAsia="楷体" w:cs="楷体"/>
          <w:b/>
          <w:bCs/>
          <w:sz w:val="32"/>
          <w:szCs w:val="32"/>
        </w:rPr>
        <w:t>主要职能</w:t>
      </w:r>
    </w:p>
    <w:p w14:paraId="3490B47F">
      <w:pPr>
        <w:pStyle w:val="9"/>
        <w:widowControl/>
        <w:ind w:firstLine="640"/>
        <w:rPr>
          <w:rFonts w:ascii="仿宋" w:hAnsi="仿宋" w:eastAsia="仿宋" w:cs="仿宋"/>
          <w:color w:val="414141"/>
          <w:sz w:val="32"/>
          <w:szCs w:val="32"/>
        </w:rPr>
      </w:pPr>
      <w:r>
        <w:rPr>
          <w:rFonts w:hint="eastAsia" w:ascii="仿宋" w:hAnsi="仿宋" w:eastAsia="仿宋" w:cs="仿宋"/>
          <w:color w:val="414141"/>
          <w:sz w:val="32"/>
          <w:szCs w:val="32"/>
        </w:rPr>
        <w:t>根据《</w:t>
      </w:r>
      <w:r>
        <w:rPr>
          <w:rFonts w:hint="eastAsia" w:ascii="仿宋" w:hAnsi="仿宋" w:eastAsia="仿宋"/>
          <w:sz w:val="32"/>
          <w:szCs w:val="32"/>
        </w:rPr>
        <w:t>关于市市场监督管理局所属事业单位机构编制调整的复函</w:t>
      </w:r>
      <w:r>
        <w:rPr>
          <w:rFonts w:hint="eastAsia" w:ascii="仿宋" w:hAnsi="仿宋" w:eastAsia="仿宋" w:cs="仿宋"/>
          <w:color w:val="414141"/>
          <w:sz w:val="32"/>
          <w:szCs w:val="32"/>
        </w:rPr>
        <w:t>》文件，本部门主要职责如下：</w:t>
      </w:r>
    </w:p>
    <w:p w14:paraId="64F86E87">
      <w:pPr>
        <w:pStyle w:val="4"/>
        <w:widowControl/>
        <w:numPr>
          <w:ilvl w:val="0"/>
          <w:numId w:val="3"/>
        </w:numPr>
        <w:wordWrap w:val="0"/>
        <w:spacing w:beforeAutospacing="0" w:afterAutospacing="0" w:line="450" w:lineRule="atLeast"/>
        <w:ind w:firstLine="640" w:firstLineChars="200"/>
        <w:jc w:val="both"/>
        <w:rPr>
          <w:rFonts w:ascii="楷体" w:hAnsi="楷体" w:eastAsia="楷体" w:cs="楷体"/>
          <w:b/>
          <w:bCs/>
          <w:color w:val="414141"/>
          <w:sz w:val="32"/>
          <w:szCs w:val="32"/>
        </w:rPr>
      </w:pPr>
      <w:r>
        <w:rPr>
          <w:rFonts w:hint="eastAsia" w:ascii="仿宋" w:hAnsi="仿宋" w:eastAsia="仿宋" w:cs="仿宋"/>
          <w:color w:val="414141"/>
          <w:sz w:val="32"/>
          <w:szCs w:val="32"/>
        </w:rPr>
        <w:t>负责宣传贯彻党和国家、省、市、有关农贸市场管理、服务工作的法律法规、方针政策，承担市政府规定及局机关委托直管的农贸市场管理和服务工作。（二）负责督促市场业主及经营者建立和完善市场管理制度，规范市场经营行为；负责组织引导市场业主及经营者开展治安、消防、卫生自我监督和整改，提升安全保障水平，改善市场经营环境。（三）承担全市质量、计量、标准、知识产权等方面的政策宣传和相关服务工作，负责向社会提供质量、计量、标准等方面的法律法规咨询和信息服务。（四）负责专利申请、专利评估、专利保护等咨询服务，组织专利技术的推广和实施。(五)完成市市场监督管理局交办的其他任务。</w:t>
      </w:r>
    </w:p>
    <w:p w14:paraId="08D8F8EE">
      <w:pPr>
        <w:pStyle w:val="4"/>
        <w:widowControl/>
        <w:numPr>
          <w:ilvl w:val="0"/>
          <w:numId w:val="3"/>
        </w:numPr>
        <w:wordWrap w:val="0"/>
        <w:spacing w:beforeAutospacing="0" w:afterAutospacing="0" w:line="450" w:lineRule="atLeast"/>
        <w:ind w:firstLine="640" w:firstLineChars="200"/>
        <w:jc w:val="both"/>
        <w:rPr>
          <w:rFonts w:ascii="仿宋" w:hAnsi="仿宋" w:eastAsia="仿宋" w:cs="仿宋"/>
          <w:b/>
          <w:bCs/>
          <w:color w:val="414141"/>
          <w:sz w:val="32"/>
          <w:szCs w:val="32"/>
        </w:rPr>
      </w:pPr>
      <w:r>
        <w:rPr>
          <w:rFonts w:hint="eastAsia" w:ascii="楷体" w:hAnsi="楷体" w:eastAsia="楷体" w:cs="楷体"/>
          <w:b/>
          <w:bCs/>
          <w:color w:val="414141"/>
          <w:sz w:val="32"/>
          <w:szCs w:val="32"/>
        </w:rPr>
        <w:t>机构情</w:t>
      </w:r>
      <w:r>
        <w:rPr>
          <w:rFonts w:hint="eastAsia" w:ascii="仿宋" w:hAnsi="仿宋" w:eastAsia="仿宋" w:cs="仿宋"/>
          <w:b/>
          <w:bCs/>
          <w:color w:val="414141"/>
          <w:sz w:val="32"/>
          <w:szCs w:val="32"/>
        </w:rPr>
        <w:t>况</w:t>
      </w:r>
    </w:p>
    <w:p w14:paraId="25051AEA">
      <w:pPr>
        <w:pStyle w:val="4"/>
        <w:widowControl/>
        <w:wordWrap w:val="0"/>
        <w:spacing w:beforeAutospacing="0" w:afterAutospacing="0" w:line="450" w:lineRule="atLeast"/>
        <w:ind w:firstLine="640" w:firstLineChars="200"/>
        <w:jc w:val="both"/>
        <w:rPr>
          <w:rFonts w:ascii="仿宋" w:hAnsi="仿宋" w:eastAsia="仿宋" w:cs="仿宋"/>
          <w:sz w:val="32"/>
          <w:szCs w:val="32"/>
        </w:rPr>
      </w:pPr>
      <w:r>
        <w:rPr>
          <w:rFonts w:hint="eastAsia" w:ascii="仿宋" w:hAnsi="仿宋" w:eastAsia="仿宋" w:cs="仿宋"/>
          <w:color w:val="414141"/>
          <w:sz w:val="32"/>
          <w:szCs w:val="32"/>
        </w:rPr>
        <w:t>我部门为财政全额拨款事业单位，属市二级预算单位。内</w:t>
      </w:r>
      <w:r>
        <w:rPr>
          <w:rFonts w:hint="eastAsia" w:ascii="仿宋" w:hAnsi="仿宋" w:eastAsia="仿宋" w:cs="仿宋"/>
          <w:sz w:val="32"/>
          <w:szCs w:val="32"/>
        </w:rPr>
        <w:t>设财务科、组织人事科、办公室、市场运行科等4个科室。</w:t>
      </w:r>
    </w:p>
    <w:p w14:paraId="5A7F1B8C">
      <w:pPr>
        <w:pStyle w:val="4"/>
        <w:widowControl/>
        <w:wordWrap w:val="0"/>
        <w:spacing w:beforeAutospacing="0" w:afterAutospacing="0" w:line="450" w:lineRule="atLeast"/>
        <w:ind w:firstLine="640" w:firstLineChars="200"/>
        <w:jc w:val="both"/>
        <w:rPr>
          <w:rFonts w:ascii="楷体" w:hAnsi="楷体" w:eastAsia="楷体" w:cs="楷体"/>
          <w:b/>
          <w:bCs/>
          <w:sz w:val="32"/>
          <w:szCs w:val="32"/>
        </w:rPr>
      </w:pPr>
      <w:r>
        <w:rPr>
          <w:rFonts w:hint="eastAsia" w:ascii="楷体" w:hAnsi="楷体" w:eastAsia="楷体" w:cs="楷体"/>
          <w:b/>
          <w:bCs/>
          <w:sz w:val="32"/>
          <w:szCs w:val="32"/>
        </w:rPr>
        <w:t>（三）人员情况</w:t>
      </w:r>
    </w:p>
    <w:p w14:paraId="63B83EA7">
      <w:pPr>
        <w:pStyle w:val="4"/>
        <w:widowControl/>
        <w:wordWrap w:val="0"/>
        <w:spacing w:beforeAutospacing="0" w:afterAutospacing="0" w:line="450" w:lineRule="atLeast"/>
        <w:ind w:firstLine="640" w:firstLineChars="200"/>
        <w:jc w:val="both"/>
        <w:rPr>
          <w:rFonts w:ascii="仿宋" w:hAnsi="仿宋" w:eastAsia="仿宋" w:cs="仿宋"/>
          <w:sz w:val="28"/>
          <w:szCs w:val="28"/>
        </w:rPr>
      </w:pPr>
      <w:r>
        <w:rPr>
          <w:rFonts w:hint="eastAsia" w:ascii="仿宋" w:hAnsi="仿宋" w:eastAsia="仿宋" w:cs="仿宋"/>
          <w:color w:val="414141"/>
          <w:sz w:val="32"/>
          <w:szCs w:val="32"/>
        </w:rPr>
        <w:t>市市场监督管理事务中心共有编制</w:t>
      </w:r>
      <w:r>
        <w:rPr>
          <w:rFonts w:hint="eastAsia" w:ascii="仿宋" w:hAnsi="仿宋" w:eastAsia="仿宋" w:cs="仿宋"/>
          <w:color w:val="414141"/>
          <w:sz w:val="32"/>
          <w:szCs w:val="32"/>
          <w:lang w:val="en-US" w:eastAsia="zh-CN"/>
        </w:rPr>
        <w:t>25</w:t>
      </w:r>
      <w:r>
        <w:rPr>
          <w:rFonts w:hint="eastAsia" w:ascii="仿宋" w:hAnsi="仿宋" w:eastAsia="仿宋" w:cs="仿宋"/>
          <w:color w:val="414141"/>
          <w:sz w:val="32"/>
          <w:szCs w:val="32"/>
        </w:rPr>
        <w:t>人，现有在职人员</w:t>
      </w:r>
      <w:r>
        <w:rPr>
          <w:rFonts w:hint="eastAsia" w:ascii="仿宋" w:hAnsi="仿宋" w:eastAsia="仿宋" w:cs="仿宋"/>
          <w:sz w:val="32"/>
          <w:szCs w:val="32"/>
        </w:rPr>
        <w:t>22</w:t>
      </w:r>
      <w:r>
        <w:rPr>
          <w:rFonts w:hint="eastAsia" w:ascii="仿宋" w:hAnsi="仿宋" w:eastAsia="仿宋" w:cs="仿宋"/>
          <w:color w:val="414141"/>
          <w:sz w:val="32"/>
          <w:szCs w:val="32"/>
        </w:rPr>
        <w:t>人，退休人员24人。</w:t>
      </w:r>
    </w:p>
    <w:p w14:paraId="5BF416F7">
      <w:pPr>
        <w:pStyle w:val="9"/>
        <w:widowControl/>
        <w:ind w:firstLine="640"/>
        <w:rPr>
          <w:rFonts w:eastAsia="黑体"/>
          <w:sz w:val="32"/>
          <w:szCs w:val="32"/>
        </w:rPr>
      </w:pPr>
      <w:r>
        <w:rPr>
          <w:rFonts w:hint="eastAsia" w:eastAsia="黑体"/>
          <w:sz w:val="32"/>
          <w:szCs w:val="32"/>
        </w:rPr>
        <w:t>二、一般公共预算支出情况</w:t>
      </w:r>
    </w:p>
    <w:p w14:paraId="322B3669">
      <w:pPr>
        <w:pStyle w:val="9"/>
        <w:widowControl/>
        <w:ind w:firstLine="643"/>
        <w:rPr>
          <w:rFonts w:eastAsia="楷体"/>
          <w:b/>
          <w:sz w:val="32"/>
          <w:szCs w:val="32"/>
        </w:rPr>
      </w:pPr>
      <w:r>
        <w:rPr>
          <w:rFonts w:hint="eastAsia" w:eastAsia="楷体"/>
          <w:b/>
          <w:sz w:val="32"/>
          <w:szCs w:val="32"/>
        </w:rPr>
        <w:t>（一）基本支出情况</w:t>
      </w:r>
    </w:p>
    <w:p w14:paraId="07E78EBC">
      <w:pPr>
        <w:pStyle w:val="9"/>
        <w:widowControl/>
        <w:ind w:firstLine="640"/>
        <w:jc w:val="distribute"/>
        <w:rPr>
          <w:rFonts w:eastAsia="楷体"/>
          <w:b/>
          <w:sz w:val="32"/>
          <w:szCs w:val="32"/>
        </w:rPr>
      </w:pPr>
      <w:r>
        <w:rPr>
          <w:rFonts w:hint="eastAsia" w:ascii="仿宋" w:hAnsi="仿宋" w:eastAsia="仿宋" w:cs="仿宋"/>
          <w:bCs/>
          <w:sz w:val="32"/>
          <w:szCs w:val="32"/>
        </w:rPr>
        <w:t>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年基本支出</w:t>
      </w:r>
      <w:r>
        <w:rPr>
          <w:rFonts w:hint="eastAsia" w:ascii="仿宋" w:hAnsi="仿宋" w:eastAsia="仿宋" w:cs="仿宋"/>
          <w:bCs/>
          <w:sz w:val="32"/>
          <w:szCs w:val="32"/>
          <w:lang w:val="en-US" w:eastAsia="zh-CN"/>
        </w:rPr>
        <w:t>429.18</w:t>
      </w:r>
      <w:r>
        <w:rPr>
          <w:rFonts w:hint="eastAsia" w:ascii="仿宋" w:hAnsi="仿宋" w:eastAsia="仿宋" w:cs="仿宋"/>
          <w:bCs/>
          <w:sz w:val="32"/>
          <w:szCs w:val="32"/>
        </w:rPr>
        <w:t>万元，其中工资福利支出</w:t>
      </w:r>
    </w:p>
    <w:p w14:paraId="2170A0AA">
      <w:pPr>
        <w:pStyle w:val="9"/>
        <w:widowControl/>
        <w:ind w:firstLine="0" w:firstLineChars="0"/>
        <w:rPr>
          <w:rFonts w:hint="eastAsia" w:ascii="仿宋" w:hAnsi="仿宋" w:eastAsia="仿宋" w:cs="仿宋"/>
          <w:bCs/>
          <w:sz w:val="32"/>
          <w:szCs w:val="32"/>
        </w:rPr>
      </w:pPr>
      <w:r>
        <w:rPr>
          <w:rFonts w:hint="eastAsia" w:ascii="仿宋" w:hAnsi="仿宋" w:eastAsia="仿宋" w:cs="仿宋"/>
          <w:bCs/>
          <w:sz w:val="32"/>
          <w:szCs w:val="32"/>
          <w:lang w:val="en-US" w:eastAsia="zh-CN"/>
        </w:rPr>
        <w:t>331.6</w:t>
      </w:r>
      <w:r>
        <w:rPr>
          <w:rFonts w:hint="eastAsia" w:ascii="仿宋" w:hAnsi="仿宋" w:eastAsia="仿宋" w:cs="仿宋"/>
          <w:bCs/>
          <w:sz w:val="32"/>
          <w:szCs w:val="32"/>
        </w:rPr>
        <w:t>万元、一般商品和服务支出</w:t>
      </w:r>
      <w:r>
        <w:rPr>
          <w:rFonts w:hint="eastAsia" w:ascii="仿宋" w:hAnsi="仿宋" w:eastAsia="仿宋" w:cs="仿宋"/>
          <w:bCs/>
          <w:sz w:val="32"/>
          <w:szCs w:val="32"/>
          <w:lang w:val="en-US" w:eastAsia="zh-CN"/>
        </w:rPr>
        <w:t>29.98</w:t>
      </w:r>
      <w:r>
        <w:rPr>
          <w:rFonts w:hint="eastAsia" w:ascii="仿宋" w:hAnsi="仿宋" w:eastAsia="仿宋" w:cs="仿宋"/>
          <w:bCs/>
          <w:sz w:val="32"/>
          <w:szCs w:val="32"/>
        </w:rPr>
        <w:t>万元、对个人和家庭的补助</w:t>
      </w:r>
      <w:r>
        <w:rPr>
          <w:rFonts w:hint="eastAsia" w:ascii="仿宋" w:hAnsi="仿宋" w:eastAsia="仿宋" w:cs="仿宋"/>
          <w:bCs/>
          <w:sz w:val="32"/>
          <w:szCs w:val="32"/>
          <w:lang w:val="en-US" w:eastAsia="zh-CN"/>
        </w:rPr>
        <w:t>66.99</w:t>
      </w:r>
      <w:r>
        <w:rPr>
          <w:rFonts w:hint="eastAsia" w:ascii="仿宋" w:hAnsi="仿宋" w:eastAsia="仿宋" w:cs="仿宋"/>
          <w:bCs/>
          <w:sz w:val="32"/>
          <w:szCs w:val="32"/>
        </w:rPr>
        <w:t>万元、其他类资本性支出0</w:t>
      </w:r>
      <w:r>
        <w:rPr>
          <w:rFonts w:hint="eastAsia" w:ascii="仿宋" w:hAnsi="仿宋" w:eastAsia="仿宋" w:cs="仿宋"/>
          <w:bCs/>
          <w:sz w:val="32"/>
          <w:szCs w:val="32"/>
          <w:lang w:val="en-US" w:eastAsia="zh-CN"/>
        </w:rPr>
        <w:t>.6</w:t>
      </w:r>
      <w:r>
        <w:rPr>
          <w:rFonts w:hint="eastAsia" w:ascii="仿宋" w:hAnsi="仿宋" w:eastAsia="仿宋" w:cs="仿宋"/>
          <w:bCs/>
          <w:sz w:val="32"/>
          <w:szCs w:val="32"/>
        </w:rPr>
        <w:t>万元。</w:t>
      </w:r>
    </w:p>
    <w:p w14:paraId="78206EB6">
      <w:pPr>
        <w:pStyle w:val="9"/>
        <w:widowControl/>
        <w:ind w:firstLine="643"/>
        <w:rPr>
          <w:rFonts w:hint="eastAsia" w:ascii="仿宋" w:hAnsi="仿宋" w:eastAsia="仿宋" w:cs="仿宋"/>
          <w:bCs/>
          <w:sz w:val="32"/>
          <w:szCs w:val="32"/>
        </w:rPr>
      </w:pPr>
      <w:r>
        <w:rPr>
          <w:rFonts w:hint="eastAsia" w:eastAsia="楷体"/>
          <w:b/>
          <w:sz w:val="32"/>
          <w:szCs w:val="32"/>
        </w:rPr>
        <w:t>（</w:t>
      </w:r>
      <w:r>
        <w:rPr>
          <w:rFonts w:hint="eastAsia" w:eastAsia="楷体"/>
          <w:b/>
          <w:sz w:val="32"/>
          <w:szCs w:val="32"/>
          <w:lang w:eastAsia="zh-CN"/>
        </w:rPr>
        <w:t>二</w:t>
      </w:r>
      <w:r>
        <w:rPr>
          <w:rFonts w:hint="eastAsia" w:eastAsia="楷体"/>
          <w:b/>
          <w:sz w:val="32"/>
          <w:szCs w:val="32"/>
        </w:rPr>
        <w:t>）</w:t>
      </w:r>
      <w:r>
        <w:rPr>
          <w:rFonts w:hint="eastAsia" w:eastAsia="楷体"/>
          <w:b/>
          <w:sz w:val="32"/>
          <w:szCs w:val="32"/>
          <w:lang w:eastAsia="zh-CN"/>
        </w:rPr>
        <w:t>项目</w:t>
      </w:r>
      <w:r>
        <w:rPr>
          <w:rFonts w:hint="eastAsia" w:eastAsia="楷体"/>
          <w:b/>
          <w:sz w:val="32"/>
          <w:szCs w:val="32"/>
        </w:rPr>
        <w:t>支出情况</w:t>
      </w:r>
    </w:p>
    <w:p w14:paraId="491131EA">
      <w:pPr>
        <w:pStyle w:val="9"/>
        <w:widowControl/>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2024年</w:t>
      </w:r>
      <w:r>
        <w:rPr>
          <w:rFonts w:hint="eastAsia" w:ascii="仿宋" w:hAnsi="仿宋" w:eastAsia="仿宋" w:cs="仿宋"/>
          <w:bCs/>
          <w:sz w:val="32"/>
          <w:szCs w:val="32"/>
          <w:lang w:eastAsia="zh-CN"/>
        </w:rPr>
        <w:t>项目支出</w:t>
      </w:r>
      <w:r>
        <w:rPr>
          <w:rFonts w:hint="eastAsia" w:ascii="仿宋" w:hAnsi="仿宋" w:eastAsia="仿宋" w:cs="仿宋"/>
          <w:bCs/>
          <w:sz w:val="32"/>
          <w:szCs w:val="32"/>
          <w:lang w:val="en-US" w:eastAsia="zh-CN"/>
        </w:rPr>
        <w:t>19.53万元。</w:t>
      </w:r>
    </w:p>
    <w:p w14:paraId="077356E6">
      <w:pPr>
        <w:widowControl/>
        <w:ind w:firstLine="640" w:firstLineChars="200"/>
        <w:rPr>
          <w:rFonts w:ascii="Times New Roman" w:hAnsi="Times New Roman" w:eastAsia="黑体"/>
          <w:sz w:val="32"/>
          <w:szCs w:val="32"/>
        </w:rPr>
      </w:pPr>
      <w:r>
        <w:rPr>
          <w:rFonts w:hint="eastAsia" w:eastAsia="黑体"/>
          <w:sz w:val="32"/>
          <w:szCs w:val="32"/>
        </w:rPr>
        <w:t>二、</w:t>
      </w:r>
      <w:r>
        <w:rPr>
          <w:rFonts w:hint="eastAsia" w:ascii="Times New Roman" w:hAnsi="Times New Roman" w:eastAsia="黑体"/>
          <w:sz w:val="32"/>
          <w:szCs w:val="32"/>
        </w:rPr>
        <w:t>部门整体支出绩效情况</w:t>
      </w:r>
    </w:p>
    <w:p w14:paraId="74B514BA">
      <w:pPr>
        <w:widowControl/>
        <w:ind w:firstLine="640" w:firstLineChars="200"/>
        <w:rPr>
          <w:rFonts w:ascii="华文宋体" w:hAnsi="华文宋体" w:eastAsia="仿宋_GB2312" w:cs="华文宋体"/>
          <w:b/>
          <w:sz w:val="32"/>
          <w:szCs w:val="32"/>
        </w:rPr>
      </w:pPr>
      <w:r>
        <w:rPr>
          <w:rFonts w:hint="eastAsia" w:ascii="Times New Roman" w:hAnsi="Times New Roman" w:eastAsia="仿宋"/>
          <w:color w:val="000000"/>
          <w:sz w:val="32"/>
          <w:szCs w:val="32"/>
        </w:rPr>
        <w:t>202</w:t>
      </w:r>
      <w:r>
        <w:rPr>
          <w:rFonts w:hint="eastAsia" w:ascii="Times New Roman" w:hAnsi="Times New Roman" w:eastAsia="仿宋"/>
          <w:color w:val="000000"/>
          <w:sz w:val="32"/>
          <w:szCs w:val="32"/>
          <w:lang w:val="en-US" w:eastAsia="zh-CN"/>
        </w:rPr>
        <w:t>4</w:t>
      </w:r>
      <w:r>
        <w:rPr>
          <w:rFonts w:hint="eastAsia" w:ascii="Times New Roman" w:hAnsi="Times New Roman" w:eastAsia="仿宋"/>
          <w:color w:val="000000"/>
          <w:sz w:val="32"/>
          <w:szCs w:val="32"/>
        </w:rPr>
        <w:t>年是市场监督管理事务中心改革合并运行后的第四年，中心认真</w:t>
      </w:r>
      <w:r>
        <w:rPr>
          <w:rFonts w:hint="eastAsia" w:ascii="Times New Roman" w:hAnsi="Times New Roman" w:eastAsia="仿宋"/>
          <w:color w:val="000000"/>
          <w:sz w:val="32"/>
          <w:szCs w:val="32"/>
          <w:lang w:eastAsia="zh-CN"/>
        </w:rPr>
        <w:t>学习贯彻</w:t>
      </w:r>
      <w:r>
        <w:rPr>
          <w:rFonts w:hint="eastAsia" w:ascii="Times New Roman" w:hAnsi="Times New Roman" w:eastAsia="仿宋"/>
          <w:color w:val="000000"/>
          <w:sz w:val="32"/>
          <w:szCs w:val="32"/>
        </w:rPr>
        <w:t>党的基本方针政策，积极宣传学习贯彻党的二十大精神，组织党员干部职工开展党纪条规、廉政法律法规学习、廉洁文化宣传教育和作风建设，先后制定了微党课学习、观看党员教育片、开展社会实践活动、党风廉政建设学习等活动计划。</w:t>
      </w:r>
      <w:r>
        <w:rPr>
          <w:rFonts w:hint="eastAsia" w:ascii="仿宋" w:hAnsi="仿宋" w:eastAsia="仿宋"/>
          <w:sz w:val="32"/>
          <w:szCs w:val="32"/>
        </w:rPr>
        <w:t>以加强能力建设为中心，以服务市场监管和服务经济发展为重点，以管理服务检验、科研提升水平、文化创造环境、合作促进提高为支撑，中心全体干部职工积极抓好农贸市场常态化疫情防控和创文巩卫等日常巡查督导工作，认真履行工作职责，圆满完成了上级局机关交办的各项工作任务。</w:t>
      </w:r>
    </w:p>
    <w:p w14:paraId="45834F23">
      <w:pPr>
        <w:ind w:firstLine="640" w:firstLineChars="200"/>
        <w:rPr>
          <w:rFonts w:ascii="仿宋" w:hAnsi="仿宋" w:eastAsia="仿宋"/>
          <w:sz w:val="32"/>
          <w:szCs w:val="32"/>
        </w:rPr>
      </w:pPr>
      <w:r>
        <w:rPr>
          <w:rFonts w:hint="eastAsia" w:ascii="仿宋" w:hAnsi="仿宋" w:eastAsia="仿宋"/>
          <w:b/>
          <w:bCs/>
          <w:sz w:val="32"/>
          <w:szCs w:val="32"/>
        </w:rPr>
        <w:t>1.积极开展各项政治思想教育理论学习</w:t>
      </w:r>
      <w:r>
        <w:rPr>
          <w:rFonts w:hint="eastAsia" w:ascii="仿宋" w:hAnsi="仿宋" w:eastAsia="仿宋"/>
          <w:sz w:val="32"/>
          <w:szCs w:val="32"/>
        </w:rPr>
        <w:t>。深入开展常态化党史学习教育，先后组织召开14次支委会、党员大会4次、班子和中层干部会议13次，为全体党员发放《习近平谈治国理政》第四卷20本、学习资料100余份，上党课4次，结合常态化党史学习教育“永远跟党走”群众性主题宣传等教育活动，积极组织支部党员在市星烨影城观看“光影铸魂”电影党课推荐影片《奋斗吧中华儿女》、《何叔衡》等影片，进一步激发干部职工传承和发扬先辈们坚韧不拔和无私奉献的精神，凝聚奋斗力量，立足本职岗位，以更加饱满的工作态度、更加务实的工作作风，为市场监管工作高质量发展贡献力量。通过近两年的工作磨合，中心基本实现了从“物理整合”到“化学融合”的转变，达到了合心合力的效果，从人员配备和技术能力提升等多方面为中心今后发展指明了方向。积极沟通，出色完成岗位设置，并帮助市局完成了下属单位的相关工作。</w:t>
      </w:r>
    </w:p>
    <w:p w14:paraId="45EC7DA4">
      <w:pPr>
        <w:ind w:firstLine="640" w:firstLineChars="200"/>
        <w:rPr>
          <w:rFonts w:ascii="仿宋" w:hAnsi="仿宋" w:eastAsia="仿宋"/>
          <w:b/>
          <w:bCs/>
          <w:sz w:val="32"/>
          <w:szCs w:val="32"/>
        </w:rPr>
      </w:pPr>
      <w:r>
        <w:rPr>
          <w:rFonts w:hint="eastAsia" w:ascii="仿宋" w:hAnsi="仿宋" w:eastAsia="仿宋"/>
          <w:sz w:val="32"/>
          <w:szCs w:val="32"/>
        </w:rPr>
        <w:t xml:space="preserve">2. </w:t>
      </w:r>
      <w:r>
        <w:rPr>
          <w:rFonts w:hint="eastAsia" w:ascii="仿宋" w:hAnsi="仿宋" w:eastAsia="仿宋"/>
          <w:b/>
          <w:bCs/>
          <w:sz w:val="32"/>
          <w:szCs w:val="32"/>
        </w:rPr>
        <w:t>立足本职，扎实认真做好农贸市场相关工作。</w:t>
      </w:r>
    </w:p>
    <w:p w14:paraId="05714E4A">
      <w:pPr>
        <w:ind w:firstLine="640" w:firstLineChars="200"/>
        <w:rPr>
          <w:rFonts w:ascii="仿宋" w:hAnsi="仿宋" w:eastAsia="仿宋"/>
          <w:sz w:val="32"/>
          <w:szCs w:val="32"/>
        </w:rPr>
      </w:pPr>
      <w:r>
        <w:rPr>
          <w:rFonts w:hint="eastAsia" w:ascii="仿宋" w:hAnsi="仿宋" w:eastAsia="仿宋"/>
          <w:sz w:val="32"/>
          <w:szCs w:val="32"/>
        </w:rPr>
        <w:t>一是持续开展全市农贸市场常态化疫情防控，营造安全健康市场环境，全体干部职工分5个专班按区域和人员安排深入农贸市场，慎终如始、全力以赴扎实开展巡查督导疫情防控工作，先后督导全市农贸市场落实设置公平交易秤、垃圾分类、摊位不占道经营摆放有序、疏通消防通道占用现象300余次，督查农药残留检测结果是否达标及每日公示到位200余次，劝导农贸市场消费者和业主禁止吸烟、不乱吐乱扔200余人次。</w:t>
      </w:r>
    </w:p>
    <w:p w14:paraId="39CA08B9">
      <w:pPr>
        <w:ind w:firstLine="640" w:firstLineChars="200"/>
        <w:rPr>
          <w:rFonts w:ascii="仿宋" w:hAnsi="仿宋" w:eastAsia="仿宋"/>
          <w:sz w:val="32"/>
          <w:szCs w:val="32"/>
        </w:rPr>
      </w:pPr>
      <w:r>
        <w:rPr>
          <w:rFonts w:hint="eastAsia" w:ascii="仿宋" w:hAnsi="仿宋" w:eastAsia="仿宋"/>
          <w:sz w:val="32"/>
          <w:szCs w:val="32"/>
        </w:rPr>
        <w:t>二是持续加强农贸市场创文巩卫巡查督导，促进市场文明有序管理，先后组织召开6次专题工作会议，完善巡查督导机制，明确工作职责和责任区域，班子成员分组分区域带队，对标对表深入农贸市场持续开展巡查督导创文巩卫和常态化疫情防控各项工作落实情况。202</w:t>
      </w:r>
      <w:r>
        <w:rPr>
          <w:rFonts w:hint="eastAsia" w:ascii="仿宋" w:hAnsi="仿宋" w:eastAsia="仿宋"/>
          <w:sz w:val="32"/>
          <w:szCs w:val="32"/>
          <w:lang w:val="en-US" w:eastAsia="zh-CN"/>
        </w:rPr>
        <w:t>4</w:t>
      </w:r>
      <w:r>
        <w:rPr>
          <w:rFonts w:hint="eastAsia" w:ascii="仿宋" w:hAnsi="仿宋" w:eastAsia="仿宋"/>
          <w:sz w:val="32"/>
          <w:szCs w:val="32"/>
        </w:rPr>
        <w:t>年中心共完成日常巡查两百余次，突击检查一百余次，先后上报创文巩卫存在问题图片300余张，现场指出并整改乱摆乱放等现象200余起处，制止不文明、不卫生行为200多起人次。</w:t>
      </w:r>
    </w:p>
    <w:p w14:paraId="0C2C6D71">
      <w:pPr>
        <w:widowControl/>
        <w:ind w:firstLine="640" w:firstLineChars="200"/>
        <w:rPr>
          <w:rFonts w:ascii="Times New Roman" w:hAnsi="Times New Roman" w:eastAsia="黑体"/>
          <w:sz w:val="32"/>
          <w:szCs w:val="32"/>
        </w:rPr>
      </w:pPr>
      <w:r>
        <w:rPr>
          <w:rFonts w:hint="eastAsia" w:ascii="Times New Roman" w:hAnsi="Times New Roman" w:eastAsia="黑体"/>
          <w:sz w:val="32"/>
          <w:szCs w:val="32"/>
        </w:rPr>
        <w:t>四、存在的问题</w:t>
      </w:r>
      <w:r>
        <w:rPr>
          <w:rFonts w:hint="eastAsia" w:eastAsia="黑体"/>
          <w:sz w:val="32"/>
          <w:szCs w:val="32"/>
        </w:rPr>
        <w:t>及原因分析</w:t>
      </w:r>
    </w:p>
    <w:p w14:paraId="5D3B4EFC">
      <w:pPr>
        <w:ind w:firstLine="627" w:firstLineChars="196"/>
        <w:rPr>
          <w:rFonts w:ascii="楷体" w:hAnsi="楷体" w:eastAsia="楷体" w:cs="楷体"/>
          <w:b/>
          <w:bCs/>
          <w:sz w:val="32"/>
          <w:szCs w:val="32"/>
        </w:rPr>
      </w:pPr>
      <w:r>
        <w:rPr>
          <w:rFonts w:hint="eastAsia" w:ascii="楷体" w:hAnsi="楷体" w:eastAsia="楷体" w:cs="楷体"/>
          <w:b/>
          <w:bCs/>
          <w:sz w:val="32"/>
          <w:szCs w:val="32"/>
        </w:rPr>
        <w:t>（一）市场监管经费存在缺口</w:t>
      </w:r>
    </w:p>
    <w:p w14:paraId="2F9730AB">
      <w:pPr>
        <w:ind w:firstLine="784" w:firstLineChars="245"/>
        <w:rPr>
          <w:rFonts w:ascii="楷体" w:hAnsi="楷体" w:eastAsia="楷体" w:cs="楷体"/>
          <w:b/>
          <w:bCs/>
          <w:sz w:val="32"/>
          <w:szCs w:val="32"/>
        </w:rPr>
      </w:pPr>
      <w:r>
        <w:rPr>
          <w:rFonts w:hint="eastAsia" w:ascii="仿宋" w:hAnsi="仿宋" w:eastAsia="仿宋"/>
          <w:sz w:val="32"/>
          <w:szCs w:val="32"/>
        </w:rPr>
        <w:t>工作经费不能满足工作开展需要。中心没有下达公车经费，也没有下达创文创卫巩卫等工作专项经费，每年市级创文创卫巩卫长江禁渔等监督巡查工作任务逐年增加，但却一直没有安排经费。</w:t>
      </w:r>
    </w:p>
    <w:p w14:paraId="248242CB">
      <w:pPr>
        <w:ind w:firstLine="640" w:firstLineChars="200"/>
        <w:jc w:val="left"/>
        <w:rPr>
          <w:rFonts w:ascii="楷体" w:hAnsi="楷体" w:eastAsia="楷体" w:cs="楷体"/>
          <w:b/>
          <w:bCs/>
          <w:sz w:val="32"/>
          <w:szCs w:val="32"/>
        </w:rPr>
      </w:pPr>
      <w:r>
        <w:rPr>
          <w:rFonts w:hint="eastAsia" w:ascii="楷体" w:hAnsi="楷体" w:eastAsia="楷体" w:cs="楷体"/>
          <w:b/>
          <w:bCs/>
          <w:sz w:val="32"/>
          <w:szCs w:val="32"/>
        </w:rPr>
        <w:t>（二）绩效管理意识待提高</w:t>
      </w:r>
    </w:p>
    <w:p w14:paraId="71BD2094">
      <w:pPr>
        <w:ind w:firstLine="800" w:firstLineChars="250"/>
        <w:jc w:val="left"/>
        <w:rPr>
          <w:rFonts w:ascii="仿宋" w:hAnsi="仿宋" w:eastAsia="仿宋"/>
          <w:sz w:val="32"/>
          <w:szCs w:val="32"/>
        </w:rPr>
      </w:pPr>
      <w:r>
        <w:rPr>
          <w:rFonts w:hint="eastAsia" w:ascii="仿宋" w:hAnsi="仿宋" w:eastAsia="仿宋"/>
          <w:sz w:val="32"/>
          <w:szCs w:val="32"/>
        </w:rPr>
        <w:t>部分科室对绩效管理理解不到位，绩效目标的设置质量不高、绩效目标分解不够清晰、绩效管理效果不佳，加上机构改革期间，业务部门人员变化较大，项目的绩效跟踪难度较大。</w:t>
      </w:r>
    </w:p>
    <w:p w14:paraId="5B681786">
      <w:pPr>
        <w:widowControl/>
        <w:ind w:firstLine="640" w:firstLineChars="200"/>
        <w:rPr>
          <w:rFonts w:ascii="Times New Roman" w:hAnsi="Times New Roman" w:eastAsia="黑体"/>
          <w:sz w:val="32"/>
          <w:szCs w:val="32"/>
        </w:rPr>
      </w:pPr>
      <w:r>
        <w:rPr>
          <w:rFonts w:hint="eastAsia" w:ascii="Times New Roman" w:hAnsi="Times New Roman" w:eastAsia="黑体"/>
          <w:sz w:val="32"/>
          <w:szCs w:val="32"/>
        </w:rPr>
        <w:t>五、下一步改进措施</w:t>
      </w:r>
    </w:p>
    <w:p w14:paraId="6F474057">
      <w:pPr>
        <w:ind w:firstLine="640" w:firstLineChars="200"/>
        <w:jc w:val="left"/>
        <w:rPr>
          <w:rFonts w:ascii="仿宋" w:hAnsi="仿宋" w:eastAsia="仿宋"/>
          <w:sz w:val="32"/>
          <w:szCs w:val="32"/>
        </w:rPr>
      </w:pPr>
      <w:r>
        <w:rPr>
          <w:rFonts w:hint="eastAsia" w:ascii="楷体" w:hAnsi="楷体" w:eastAsia="楷体" w:cs="楷体"/>
          <w:b/>
          <w:bCs/>
          <w:sz w:val="32"/>
          <w:szCs w:val="32"/>
        </w:rPr>
        <w:t>1.请求财政加大对市场巡查经费的支持</w:t>
      </w:r>
    </w:p>
    <w:p w14:paraId="55184A36">
      <w:pPr>
        <w:ind w:firstLine="640" w:firstLineChars="200"/>
        <w:jc w:val="left"/>
        <w:rPr>
          <w:rFonts w:ascii="仿宋" w:hAnsi="仿宋" w:eastAsia="仿宋"/>
          <w:sz w:val="32"/>
          <w:szCs w:val="32"/>
        </w:rPr>
      </w:pPr>
      <w:r>
        <w:rPr>
          <w:rFonts w:hint="eastAsia" w:ascii="仿宋" w:hAnsi="仿宋" w:eastAsia="仿宋"/>
          <w:sz w:val="32"/>
          <w:szCs w:val="32"/>
        </w:rPr>
        <w:t>农贸市场监管是民生领域的一项重点工作，</w:t>
      </w:r>
      <w:r>
        <w:rPr>
          <w:rFonts w:hint="eastAsia" w:ascii="仿宋" w:hAnsi="仿宋" w:eastAsia="仿宋" w:cs="仿宋"/>
          <w:sz w:val="32"/>
          <w:szCs w:val="32"/>
        </w:rPr>
        <w:t>食品安全监管</w:t>
      </w:r>
      <w:r>
        <w:rPr>
          <w:rFonts w:hint="eastAsia" w:ascii="仿宋" w:hAnsi="仿宋" w:eastAsia="仿宋"/>
          <w:sz w:val="32"/>
          <w:szCs w:val="32"/>
        </w:rPr>
        <w:t>是</w:t>
      </w:r>
      <w:r>
        <w:rPr>
          <w:rFonts w:hint="eastAsia" w:ascii="仿宋" w:hAnsi="仿宋" w:eastAsia="仿宋" w:cs="仿宋"/>
          <w:sz w:val="32"/>
          <w:szCs w:val="32"/>
        </w:rPr>
        <w:t>安全监管的基础，目前未安排任何费用，请求财政加大项目投入，以便更好地开展专项工作，确保人民的食品安全</w:t>
      </w:r>
      <w:r>
        <w:rPr>
          <w:rFonts w:hint="eastAsia" w:ascii="仿宋" w:hAnsi="仿宋" w:eastAsia="仿宋"/>
          <w:sz w:val="32"/>
          <w:szCs w:val="32"/>
        </w:rPr>
        <w:t>。</w:t>
      </w:r>
    </w:p>
    <w:p w14:paraId="4DAA535E">
      <w:pPr>
        <w:ind w:firstLine="640" w:firstLineChars="200"/>
        <w:jc w:val="left"/>
        <w:rPr>
          <w:rFonts w:ascii="楷体" w:hAnsi="楷体" w:eastAsia="楷体" w:cs="楷体"/>
          <w:b/>
          <w:bCs/>
          <w:sz w:val="32"/>
          <w:szCs w:val="32"/>
        </w:rPr>
      </w:pPr>
      <w:r>
        <w:rPr>
          <w:rFonts w:hint="eastAsia" w:ascii="楷体" w:hAnsi="楷体" w:eastAsia="楷体" w:cs="楷体"/>
          <w:b/>
          <w:bCs/>
          <w:sz w:val="32"/>
          <w:szCs w:val="32"/>
        </w:rPr>
        <w:t>2.加强绩效评价结果的运用</w:t>
      </w:r>
    </w:p>
    <w:p w14:paraId="6C85CBF5">
      <w:pPr>
        <w:ind w:firstLine="640" w:firstLineChars="200"/>
        <w:jc w:val="left"/>
        <w:rPr>
          <w:rFonts w:ascii="楷体" w:hAnsi="楷体" w:eastAsia="楷体" w:cs="楷体"/>
          <w:b/>
          <w:bCs/>
          <w:sz w:val="32"/>
          <w:szCs w:val="32"/>
        </w:rPr>
      </w:pPr>
      <w:r>
        <w:rPr>
          <w:rFonts w:hint="eastAsia" w:ascii="Times New Roman" w:hAnsi="Times New Roman" w:eastAsia="仿宋"/>
          <w:sz w:val="32"/>
          <w:szCs w:val="32"/>
        </w:rPr>
        <w:t>对各个项目资金绩效情况进行及时整理、归纳、分析，</w:t>
      </w:r>
    </w:p>
    <w:p w14:paraId="4665217F">
      <w:pPr>
        <w:widowControl/>
        <w:rPr>
          <w:rFonts w:ascii="Times New Roman" w:hAnsi="Times New Roman" w:eastAsia="仿宋"/>
          <w:sz w:val="32"/>
          <w:szCs w:val="32"/>
        </w:rPr>
      </w:pPr>
      <w:r>
        <w:rPr>
          <w:rFonts w:hint="eastAsia" w:ascii="Times New Roman" w:hAnsi="Times New Roman" w:eastAsia="仿宋"/>
          <w:sz w:val="32"/>
          <w:szCs w:val="32"/>
        </w:rPr>
        <w:t>将其作为改善部门预算管理工作和安排以后年度预算的依据，合理保障资金使用绩效的评价结果与预算安排、政策调整、改进管理、资金分配实质性挂钩，充分发挥资金绩效评价的管理性作用。</w:t>
      </w:r>
    </w:p>
    <w:p w14:paraId="18800F80">
      <w:pPr>
        <w:widowControl/>
        <w:ind w:firstLine="640" w:firstLineChars="200"/>
        <w:rPr>
          <w:rFonts w:ascii="Times New Roman" w:hAnsi="Times New Roman" w:eastAsia="仿宋"/>
          <w:sz w:val="32"/>
          <w:szCs w:val="32"/>
        </w:rPr>
      </w:pPr>
    </w:p>
    <w:p w14:paraId="18E3B235">
      <w:pPr>
        <w:widowControl/>
        <w:ind w:firstLine="640" w:firstLineChars="200"/>
        <w:rPr>
          <w:rFonts w:ascii="Times New Roman" w:hAnsi="Times New Roman" w:eastAsia="仿宋"/>
          <w:sz w:val="32"/>
          <w:szCs w:val="32"/>
        </w:rPr>
      </w:pPr>
      <w:r>
        <w:rPr>
          <w:rFonts w:hint="eastAsia" w:ascii="Times New Roman" w:hAnsi="Times New Roman" w:eastAsia="仿宋"/>
          <w:b/>
          <w:sz w:val="32"/>
          <w:szCs w:val="32"/>
        </w:rPr>
        <w:t>附件</w:t>
      </w:r>
      <w:r>
        <w:rPr>
          <w:rFonts w:hint="eastAsia" w:ascii="Times New Roman" w:hAnsi="Times New Roman" w:eastAsia="仿宋"/>
          <w:sz w:val="32"/>
          <w:szCs w:val="32"/>
        </w:rPr>
        <w:t>：</w:t>
      </w:r>
    </w:p>
    <w:p w14:paraId="35C929C0">
      <w:pPr>
        <w:ind w:left="1918" w:leftChars="304" w:right="640" w:hanging="1280" w:hangingChars="4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pacing w:val="-8"/>
          <w:sz w:val="32"/>
          <w:szCs w:val="32"/>
        </w:rPr>
        <w:t>部门整体支出绩效自评报告</w:t>
      </w:r>
    </w:p>
    <w:p w14:paraId="6D3BC1CE">
      <w:pPr>
        <w:ind w:right="640"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部门整体支出绩效评价基础数据表</w:t>
      </w:r>
    </w:p>
    <w:p w14:paraId="2FFB88AC">
      <w:pPr>
        <w:ind w:firstLine="640" w:firstLineChars="200"/>
        <w:rPr>
          <w:rFonts w:ascii="Times New Roman" w:hAnsi="Times New Roman" w:eastAsia="仿宋_GB2312"/>
          <w:sz w:val="32"/>
          <w:szCs w:val="32"/>
        </w:rPr>
      </w:pPr>
      <w:r>
        <w:rPr>
          <w:rFonts w:ascii="Times New Roman" w:hAnsi="Times New Roman" w:eastAsia="仿宋_GB2312"/>
          <w:sz w:val="32"/>
          <w:szCs w:val="32"/>
        </w:rPr>
        <w:t>3.部门整体支出绩效自评表</w:t>
      </w:r>
    </w:p>
    <w:p w14:paraId="21D0EF82">
      <w:pPr>
        <w:ind w:firstLine="640" w:firstLineChars="200"/>
        <w:rPr>
          <w:rFonts w:ascii="Times New Roman" w:hAnsi="Times New Roman" w:eastAsia="仿宋"/>
          <w:sz w:val="32"/>
          <w:szCs w:val="32"/>
        </w:rPr>
      </w:pPr>
    </w:p>
    <w:p w14:paraId="7F739E9F">
      <w:pPr>
        <w:widowControl/>
        <w:rPr>
          <w:rFonts w:ascii="Times New Roman" w:hAnsi="Times New Roman" w:eastAsia="仿宋"/>
          <w:color w:val="000000"/>
          <w:kern w:val="0"/>
          <w:sz w:val="32"/>
          <w:szCs w:val="32"/>
        </w:rPr>
      </w:pPr>
    </w:p>
    <w:p w14:paraId="6EEBDC3D">
      <w:pPr>
        <w:ind w:right="640"/>
        <w:rPr>
          <w:rFonts w:ascii="Times New Roman" w:hAnsi="Times New Roman" w:eastAsia="仿宋_GB2312"/>
          <w:kern w:val="0"/>
          <w:sz w:val="36"/>
          <w:szCs w:val="36"/>
        </w:rPr>
      </w:pPr>
      <w:r>
        <w:rPr>
          <w:rFonts w:hint="eastAsia" w:ascii="Times New Roman" w:hAnsi="Times New Roman" w:eastAsia="仿宋"/>
          <w:color w:val="000000"/>
          <w:kern w:val="0"/>
          <w:sz w:val="32"/>
          <w:szCs w:val="32"/>
        </w:rPr>
        <w:t>附件2</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 xml:space="preserve">    </w:t>
      </w:r>
      <w:r>
        <w:rPr>
          <w:rFonts w:hint="eastAsia" w:ascii="Times New Roman" w:hAnsi="Times New Roman" w:eastAsia="仿宋_GB2312"/>
          <w:kern w:val="0"/>
          <w:sz w:val="36"/>
          <w:szCs w:val="36"/>
        </w:rPr>
        <w:t xml:space="preserve"> </w:t>
      </w:r>
    </w:p>
    <w:p w14:paraId="36240874">
      <w:pPr>
        <w:spacing w:line="600" w:lineRule="exact"/>
        <w:jc w:val="center"/>
        <w:rPr>
          <w:rFonts w:ascii="方正小标宋简体" w:hAnsi="方正小标宋简体" w:eastAsia="方正小标宋简体" w:cs="方正小标宋简体"/>
          <w:sz w:val="36"/>
          <w:szCs w:val="36"/>
        </w:rPr>
      </w:pPr>
      <w:r>
        <w:rPr>
          <w:rFonts w:hint="eastAsia" w:asciiTheme="majorEastAsia" w:hAnsiTheme="majorEastAsia" w:eastAsiaTheme="majorEastAsia" w:cstheme="majorEastAsia"/>
          <w:b/>
          <w:bCs/>
          <w:sz w:val="44"/>
          <w:szCs w:val="44"/>
        </w:rPr>
        <w:t xml:space="preserve">  部门整体支出绩效评价基础数据表</w:t>
      </w:r>
      <w:r>
        <w:rPr>
          <w:rFonts w:hint="eastAsia" w:ascii="方正小标宋简体" w:hAnsi="方正小标宋简体" w:eastAsia="方正小标宋简体" w:cs="方正小标宋简体"/>
          <w:sz w:val="36"/>
          <w:szCs w:val="36"/>
        </w:rPr>
        <w:t xml:space="preserve">  </w:t>
      </w:r>
    </w:p>
    <w:tbl>
      <w:tblPr>
        <w:tblStyle w:val="5"/>
        <w:tblW w:w="9420" w:type="dxa"/>
        <w:tblInd w:w="93" w:type="dxa"/>
        <w:tblLayout w:type="fixed"/>
        <w:tblCellMar>
          <w:top w:w="0" w:type="dxa"/>
          <w:left w:w="108" w:type="dxa"/>
          <w:bottom w:w="0" w:type="dxa"/>
          <w:right w:w="108" w:type="dxa"/>
        </w:tblCellMar>
      </w:tblPr>
      <w:tblGrid>
        <w:gridCol w:w="3240"/>
        <w:gridCol w:w="969"/>
        <w:gridCol w:w="1110"/>
        <w:gridCol w:w="861"/>
        <w:gridCol w:w="1080"/>
        <w:gridCol w:w="1080"/>
        <w:gridCol w:w="1080"/>
      </w:tblGrid>
      <w:tr w14:paraId="7E71427E">
        <w:tblPrEx>
          <w:tblCellMar>
            <w:top w:w="0" w:type="dxa"/>
            <w:left w:w="108" w:type="dxa"/>
            <w:bottom w:w="0" w:type="dxa"/>
            <w:right w:w="108" w:type="dxa"/>
          </w:tblCellMar>
        </w:tblPrEx>
        <w:trPr>
          <w:trHeight w:val="409" w:hRule="atLeast"/>
        </w:trPr>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F5F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财政供养人员情况</w:t>
            </w: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3C7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编制数</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34B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2023年实际在职人数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F28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控制率</w:t>
            </w:r>
          </w:p>
        </w:tc>
      </w:tr>
      <w:tr w14:paraId="231735B1">
        <w:tblPrEx>
          <w:tblCellMar>
            <w:top w:w="0" w:type="dxa"/>
            <w:left w:w="108" w:type="dxa"/>
            <w:bottom w:w="0" w:type="dxa"/>
            <w:right w:w="108" w:type="dxa"/>
          </w:tblCellMar>
        </w:tblPrEx>
        <w:trPr>
          <w:trHeight w:val="443" w:hRule="atLeast"/>
        </w:trPr>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8247">
            <w:pPr>
              <w:jc w:val="center"/>
              <w:rPr>
                <w:rFonts w:ascii="仿宋_GB2312" w:hAnsi="仿宋_GB2312" w:eastAsia="仿宋_GB2312" w:cs="仿宋_GB2312"/>
                <w:color w:val="000000"/>
                <w:sz w:val="22"/>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E001">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30</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9633">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24</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DDB6">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80%</w:t>
            </w:r>
          </w:p>
        </w:tc>
      </w:tr>
      <w:tr w14:paraId="73F415FE">
        <w:tblPrEx>
          <w:tblCellMar>
            <w:top w:w="0" w:type="dxa"/>
            <w:left w:w="108" w:type="dxa"/>
            <w:bottom w:w="0" w:type="dxa"/>
            <w:right w:w="108" w:type="dxa"/>
          </w:tblCellMar>
        </w:tblPrEx>
        <w:trPr>
          <w:trHeight w:val="638" w:hRule="atLeast"/>
        </w:trPr>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640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经费控制情况(万元)</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78E357B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2022决算数</w:t>
            </w: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78D11F7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2023预算数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051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2023决算数</w:t>
            </w:r>
          </w:p>
        </w:tc>
      </w:tr>
      <w:tr w14:paraId="3459B05A">
        <w:tblPrEx>
          <w:tblCellMar>
            <w:top w:w="0" w:type="dxa"/>
            <w:left w:w="108" w:type="dxa"/>
            <w:bottom w:w="0" w:type="dxa"/>
            <w:right w:w="108" w:type="dxa"/>
          </w:tblCellMar>
        </w:tblPrEx>
        <w:trPr>
          <w:trHeight w:val="459"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124063A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三公经费</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3353F602">
            <w:pPr>
              <w:jc w:val="center"/>
              <w:rPr>
                <w:rFonts w:ascii="仿宋_GB2312" w:hAnsi="仿宋_GB2312" w:eastAsia="仿宋_GB2312" w:cs="仿宋_GB2312"/>
                <w:color w:val="000000"/>
                <w:sz w:val="22"/>
              </w:rPr>
            </w:pP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1F223742">
            <w:pPr>
              <w:jc w:val="center"/>
              <w:rPr>
                <w:rFonts w:ascii="仿宋_GB2312" w:hAnsi="仿宋_GB2312" w:eastAsia="仿宋_GB2312" w:cs="仿宋_GB2312"/>
                <w:color w:val="000000"/>
                <w:sz w:val="22"/>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47A8">
            <w:pPr>
              <w:jc w:val="center"/>
              <w:rPr>
                <w:rFonts w:ascii="仿宋_GB2312" w:hAnsi="仿宋_GB2312" w:eastAsia="仿宋_GB2312" w:cs="仿宋_GB2312"/>
                <w:color w:val="000000"/>
                <w:sz w:val="22"/>
              </w:rPr>
            </w:pPr>
          </w:p>
        </w:tc>
      </w:tr>
      <w:tr w14:paraId="73336F51">
        <w:tblPrEx>
          <w:tblCellMar>
            <w:top w:w="0" w:type="dxa"/>
            <w:left w:w="108" w:type="dxa"/>
            <w:bottom w:w="0" w:type="dxa"/>
            <w:right w:w="108" w:type="dxa"/>
          </w:tblCellMar>
        </w:tblPrEx>
        <w:trPr>
          <w:trHeight w:val="489"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691B201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1、公务用车购置和维护经费</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369BEDD6">
            <w:pPr>
              <w:jc w:val="center"/>
              <w:rPr>
                <w:rFonts w:ascii="仿宋_GB2312" w:hAnsi="仿宋_GB2312" w:eastAsia="仿宋_GB2312" w:cs="仿宋_GB2312"/>
                <w:color w:val="000000"/>
                <w:sz w:val="22"/>
              </w:rPr>
            </w:pP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7E7C2A2F">
            <w:pPr>
              <w:jc w:val="center"/>
              <w:rPr>
                <w:rFonts w:ascii="仿宋_GB2312" w:hAnsi="仿宋_GB2312" w:eastAsia="仿宋_GB2312" w:cs="仿宋_GB2312"/>
                <w:color w:val="000000"/>
                <w:sz w:val="22"/>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51D3">
            <w:pPr>
              <w:jc w:val="center"/>
              <w:rPr>
                <w:rFonts w:ascii="仿宋_GB2312" w:hAnsi="仿宋_GB2312" w:eastAsia="仿宋_GB2312" w:cs="仿宋_GB2312"/>
                <w:color w:val="000000"/>
                <w:sz w:val="22"/>
              </w:rPr>
            </w:pPr>
          </w:p>
        </w:tc>
      </w:tr>
      <w:tr w14:paraId="7CC2BAA8">
        <w:tblPrEx>
          <w:tblCellMar>
            <w:top w:w="0" w:type="dxa"/>
            <w:left w:w="108" w:type="dxa"/>
            <w:bottom w:w="0" w:type="dxa"/>
            <w:right w:w="108" w:type="dxa"/>
          </w:tblCellMar>
        </w:tblPrEx>
        <w:trPr>
          <w:trHeight w:val="519"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7BA45B6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其中：公车购置</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7BF905C6">
            <w:pPr>
              <w:jc w:val="center"/>
              <w:rPr>
                <w:rFonts w:ascii="仿宋_GB2312" w:hAnsi="仿宋_GB2312" w:eastAsia="仿宋_GB2312" w:cs="仿宋_GB2312"/>
                <w:color w:val="000000"/>
                <w:sz w:val="22"/>
              </w:rPr>
            </w:pP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65B05FC6">
            <w:pPr>
              <w:jc w:val="center"/>
              <w:rPr>
                <w:rFonts w:ascii="仿宋_GB2312" w:hAnsi="仿宋_GB2312" w:eastAsia="仿宋_GB2312" w:cs="仿宋_GB2312"/>
                <w:color w:val="000000"/>
                <w:sz w:val="22"/>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01C8">
            <w:pPr>
              <w:jc w:val="center"/>
              <w:rPr>
                <w:rFonts w:ascii="仿宋_GB2312" w:hAnsi="仿宋_GB2312" w:eastAsia="仿宋_GB2312" w:cs="仿宋_GB2312"/>
                <w:color w:val="000000"/>
                <w:sz w:val="22"/>
              </w:rPr>
            </w:pPr>
          </w:p>
        </w:tc>
      </w:tr>
      <w:tr w14:paraId="001D78DF">
        <w:tblPrEx>
          <w:tblCellMar>
            <w:top w:w="0" w:type="dxa"/>
            <w:left w:w="108" w:type="dxa"/>
            <w:bottom w:w="0" w:type="dxa"/>
            <w:right w:w="108" w:type="dxa"/>
          </w:tblCellMar>
        </w:tblPrEx>
        <w:trPr>
          <w:trHeight w:val="504"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5C155DB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公车运行维护</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4FEB0D29">
            <w:pPr>
              <w:jc w:val="center"/>
              <w:rPr>
                <w:rFonts w:ascii="仿宋_GB2312" w:hAnsi="仿宋_GB2312" w:eastAsia="仿宋_GB2312" w:cs="仿宋_GB2312"/>
                <w:color w:val="000000"/>
                <w:sz w:val="22"/>
              </w:rPr>
            </w:pP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28207126">
            <w:pPr>
              <w:jc w:val="center"/>
              <w:rPr>
                <w:rFonts w:ascii="仿宋_GB2312" w:hAnsi="仿宋_GB2312" w:eastAsia="仿宋_GB2312" w:cs="仿宋_GB2312"/>
                <w:color w:val="000000"/>
                <w:sz w:val="22"/>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BDE1">
            <w:pPr>
              <w:jc w:val="center"/>
              <w:rPr>
                <w:rFonts w:ascii="仿宋_GB2312" w:hAnsi="仿宋_GB2312" w:eastAsia="仿宋_GB2312" w:cs="仿宋_GB2312"/>
                <w:color w:val="000000"/>
                <w:sz w:val="22"/>
              </w:rPr>
            </w:pPr>
          </w:p>
        </w:tc>
      </w:tr>
      <w:tr w14:paraId="6E81B8AE">
        <w:tblPrEx>
          <w:tblCellMar>
            <w:top w:w="0" w:type="dxa"/>
            <w:left w:w="108" w:type="dxa"/>
            <w:bottom w:w="0" w:type="dxa"/>
            <w:right w:w="108" w:type="dxa"/>
          </w:tblCellMar>
        </w:tblPrEx>
        <w:trPr>
          <w:trHeight w:val="549"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4E0A71F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2、出国经费</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7BB23626">
            <w:pPr>
              <w:jc w:val="center"/>
              <w:rPr>
                <w:rFonts w:ascii="仿宋_GB2312" w:hAnsi="仿宋_GB2312" w:eastAsia="仿宋_GB2312" w:cs="仿宋_GB2312"/>
                <w:color w:val="000000"/>
                <w:sz w:val="22"/>
              </w:rPr>
            </w:pP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6234B635">
            <w:pPr>
              <w:jc w:val="center"/>
              <w:rPr>
                <w:rFonts w:ascii="仿宋_GB2312" w:hAnsi="仿宋_GB2312" w:eastAsia="仿宋_GB2312" w:cs="仿宋_GB2312"/>
                <w:color w:val="000000"/>
                <w:sz w:val="22"/>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0FB2">
            <w:pPr>
              <w:jc w:val="center"/>
              <w:rPr>
                <w:rFonts w:ascii="仿宋_GB2312" w:hAnsi="仿宋_GB2312" w:eastAsia="仿宋_GB2312" w:cs="仿宋_GB2312"/>
                <w:color w:val="000000"/>
                <w:sz w:val="22"/>
              </w:rPr>
            </w:pPr>
          </w:p>
        </w:tc>
      </w:tr>
      <w:tr w14:paraId="18C6B01A">
        <w:tblPrEx>
          <w:tblCellMar>
            <w:top w:w="0" w:type="dxa"/>
            <w:left w:w="108" w:type="dxa"/>
            <w:bottom w:w="0" w:type="dxa"/>
            <w:right w:w="108" w:type="dxa"/>
          </w:tblCellMar>
        </w:tblPrEx>
        <w:trPr>
          <w:trHeight w:val="534"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20C4116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3、公务接待</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4D4E54A5">
            <w:pPr>
              <w:jc w:val="center"/>
              <w:rPr>
                <w:rFonts w:ascii="仿宋_GB2312" w:hAnsi="仿宋_GB2312" w:eastAsia="仿宋_GB2312" w:cs="仿宋_GB2312"/>
                <w:color w:val="000000"/>
                <w:sz w:val="22"/>
              </w:rPr>
            </w:pP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6936A487">
            <w:pPr>
              <w:jc w:val="center"/>
              <w:rPr>
                <w:rFonts w:ascii="仿宋_GB2312" w:hAnsi="仿宋_GB2312" w:eastAsia="仿宋_GB2312" w:cs="仿宋_GB2312"/>
                <w:color w:val="000000"/>
                <w:sz w:val="22"/>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1120">
            <w:pPr>
              <w:jc w:val="center"/>
              <w:rPr>
                <w:rFonts w:ascii="仿宋_GB2312" w:hAnsi="仿宋_GB2312" w:eastAsia="仿宋_GB2312" w:cs="仿宋_GB2312"/>
                <w:color w:val="000000"/>
                <w:sz w:val="22"/>
              </w:rPr>
            </w:pPr>
          </w:p>
        </w:tc>
      </w:tr>
      <w:tr w14:paraId="2B89684C">
        <w:tblPrEx>
          <w:tblCellMar>
            <w:top w:w="0" w:type="dxa"/>
            <w:left w:w="108" w:type="dxa"/>
            <w:bottom w:w="0" w:type="dxa"/>
            <w:right w:w="108" w:type="dxa"/>
          </w:tblCellMar>
        </w:tblPrEx>
        <w:trPr>
          <w:trHeight w:val="489"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223C6A5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项目支出：</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5E333B15">
            <w:pPr>
              <w:jc w:val="center"/>
              <w:rPr>
                <w:rFonts w:ascii="仿宋_GB2312" w:hAnsi="仿宋_GB2312" w:eastAsia="仿宋_GB2312" w:cs="仿宋_GB2312"/>
                <w:color w:val="000000"/>
                <w:sz w:val="22"/>
              </w:rPr>
            </w:pP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211971F0">
            <w:pPr>
              <w:jc w:val="center"/>
              <w:rPr>
                <w:rFonts w:ascii="仿宋_GB2312" w:hAnsi="仿宋_GB2312" w:eastAsia="仿宋_GB2312" w:cs="仿宋_GB2312"/>
                <w:color w:val="000000"/>
                <w:sz w:val="22"/>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186D">
            <w:pPr>
              <w:jc w:val="center"/>
              <w:rPr>
                <w:rFonts w:ascii="仿宋_GB2312" w:hAnsi="仿宋_GB2312" w:eastAsia="仿宋_GB2312" w:cs="仿宋_GB2312"/>
                <w:color w:val="000000"/>
                <w:sz w:val="22"/>
              </w:rPr>
            </w:pPr>
          </w:p>
        </w:tc>
      </w:tr>
      <w:tr w14:paraId="7A0EF03E">
        <w:tblPrEx>
          <w:tblCellMar>
            <w:top w:w="0" w:type="dxa"/>
            <w:left w:w="108" w:type="dxa"/>
            <w:bottom w:w="0" w:type="dxa"/>
            <w:right w:w="108" w:type="dxa"/>
          </w:tblCellMar>
        </w:tblPrEx>
        <w:trPr>
          <w:trHeight w:val="534"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1385124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1、业务工作经费</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63162A43">
            <w:pPr>
              <w:jc w:val="center"/>
              <w:rPr>
                <w:rFonts w:ascii="仿宋_GB2312" w:hAnsi="仿宋_GB2312" w:eastAsia="仿宋_GB2312" w:cs="仿宋_GB2312"/>
                <w:color w:val="000000"/>
                <w:sz w:val="22"/>
              </w:rPr>
            </w:pP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4A1B27DA">
            <w:pPr>
              <w:jc w:val="center"/>
              <w:rPr>
                <w:rFonts w:ascii="仿宋_GB2312" w:hAnsi="仿宋_GB2312" w:eastAsia="仿宋_GB2312" w:cs="仿宋_GB2312"/>
                <w:color w:val="000000"/>
                <w:sz w:val="22"/>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F4C2">
            <w:pPr>
              <w:jc w:val="center"/>
              <w:rPr>
                <w:rFonts w:ascii="仿宋_GB2312" w:hAnsi="仿宋_GB2312" w:eastAsia="仿宋_GB2312" w:cs="仿宋_GB2312"/>
                <w:color w:val="000000"/>
                <w:sz w:val="22"/>
              </w:rPr>
            </w:pPr>
          </w:p>
        </w:tc>
      </w:tr>
      <w:tr w14:paraId="4F1424E0">
        <w:tblPrEx>
          <w:tblCellMar>
            <w:top w:w="0" w:type="dxa"/>
            <w:left w:w="108" w:type="dxa"/>
            <w:bottom w:w="0" w:type="dxa"/>
            <w:right w:w="108" w:type="dxa"/>
          </w:tblCellMar>
        </w:tblPrEx>
        <w:trPr>
          <w:trHeight w:val="534"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0DE5388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2、运行维护经费</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6015C615">
            <w:pPr>
              <w:jc w:val="center"/>
              <w:rPr>
                <w:rFonts w:ascii="仿宋_GB2312" w:hAnsi="仿宋_GB2312" w:eastAsia="仿宋_GB2312" w:cs="仿宋_GB2312"/>
                <w:color w:val="000000"/>
                <w:sz w:val="22"/>
              </w:rPr>
            </w:pP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17340172">
            <w:pPr>
              <w:jc w:val="center"/>
              <w:rPr>
                <w:rFonts w:ascii="仿宋_GB2312" w:hAnsi="仿宋_GB2312" w:eastAsia="仿宋_GB2312" w:cs="仿宋_GB2312"/>
                <w:color w:val="000000"/>
                <w:sz w:val="22"/>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9497">
            <w:pPr>
              <w:jc w:val="center"/>
              <w:rPr>
                <w:rFonts w:ascii="仿宋_GB2312" w:hAnsi="仿宋_GB2312" w:eastAsia="仿宋_GB2312" w:cs="仿宋_GB2312"/>
                <w:color w:val="000000"/>
                <w:sz w:val="22"/>
              </w:rPr>
            </w:pPr>
          </w:p>
        </w:tc>
      </w:tr>
      <w:tr w14:paraId="615AD677">
        <w:tblPrEx>
          <w:tblCellMar>
            <w:top w:w="0" w:type="dxa"/>
            <w:left w:w="108" w:type="dxa"/>
            <w:bottom w:w="0" w:type="dxa"/>
            <w:right w:w="108" w:type="dxa"/>
          </w:tblCellMar>
        </w:tblPrEx>
        <w:trPr>
          <w:trHeight w:val="519"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73FBC85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3、专项资金（一个专项一行）</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46F00032">
            <w:pPr>
              <w:jc w:val="center"/>
              <w:rPr>
                <w:rFonts w:ascii="仿宋_GB2312" w:hAnsi="仿宋_GB2312" w:eastAsia="仿宋_GB2312" w:cs="仿宋_GB2312"/>
                <w:color w:val="000000"/>
                <w:sz w:val="22"/>
              </w:rPr>
            </w:pP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09DCDB55">
            <w:pPr>
              <w:jc w:val="center"/>
              <w:rPr>
                <w:rFonts w:ascii="仿宋_GB2312" w:hAnsi="仿宋_GB2312" w:eastAsia="仿宋_GB2312" w:cs="仿宋_GB2312"/>
                <w:color w:val="000000"/>
                <w:sz w:val="22"/>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DCD9">
            <w:pPr>
              <w:jc w:val="center"/>
              <w:rPr>
                <w:rFonts w:ascii="仿宋_GB2312" w:hAnsi="仿宋_GB2312" w:eastAsia="仿宋_GB2312" w:cs="仿宋_GB2312"/>
                <w:color w:val="000000"/>
                <w:sz w:val="22"/>
              </w:rPr>
            </w:pPr>
          </w:p>
        </w:tc>
      </w:tr>
      <w:tr w14:paraId="27ABD431">
        <w:tblPrEx>
          <w:tblCellMar>
            <w:top w:w="0" w:type="dxa"/>
            <w:left w:w="108" w:type="dxa"/>
            <w:bottom w:w="0" w:type="dxa"/>
            <w:right w:w="108" w:type="dxa"/>
          </w:tblCellMar>
        </w:tblPrEx>
        <w:trPr>
          <w:trHeight w:val="504"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3FFFB67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公用经费：</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671AF99D">
            <w:pPr>
              <w:jc w:val="center"/>
              <w:rPr>
                <w:rFonts w:ascii="仿宋_GB2312" w:hAnsi="仿宋_GB2312" w:eastAsia="仿宋_GB2312" w:cs="仿宋_GB2312"/>
                <w:color w:val="000000"/>
                <w:sz w:val="22"/>
              </w:rPr>
            </w:pPr>
            <w:r>
              <w:rPr>
                <w:rFonts w:hint="eastAsia" w:ascii="Times New Roman" w:hAnsi="Times New Roman"/>
                <w:kern w:val="0"/>
                <w:szCs w:val="21"/>
              </w:rPr>
              <w:t>23.37万元</w:t>
            </w: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538A75AC">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31万元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C6B0">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30.68万</w:t>
            </w:r>
          </w:p>
        </w:tc>
      </w:tr>
      <w:tr w14:paraId="194B47CA">
        <w:tblPrEx>
          <w:tblCellMar>
            <w:top w:w="0" w:type="dxa"/>
            <w:left w:w="108" w:type="dxa"/>
            <w:bottom w:w="0" w:type="dxa"/>
            <w:right w:w="108" w:type="dxa"/>
          </w:tblCellMar>
        </w:tblPrEx>
        <w:trPr>
          <w:trHeight w:val="474"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08742E4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其中：办公经费</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6DB6660B">
            <w:pPr>
              <w:jc w:val="center"/>
              <w:rPr>
                <w:rFonts w:ascii="仿宋_GB2312" w:hAnsi="仿宋_GB2312" w:eastAsia="仿宋_GB2312" w:cs="仿宋_GB2312"/>
                <w:color w:val="000000"/>
                <w:sz w:val="22"/>
              </w:rPr>
            </w:pPr>
            <w:r>
              <w:rPr>
                <w:rFonts w:hint="eastAsia" w:ascii="Times New Roman" w:hAnsi="Times New Roman" w:eastAsiaTheme="minorEastAsia"/>
                <w:kern w:val="0"/>
                <w:szCs w:val="21"/>
              </w:rPr>
              <w:t>3.63万</w:t>
            </w: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2CA070F1">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10.45万元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3B75">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4.48万</w:t>
            </w:r>
          </w:p>
        </w:tc>
      </w:tr>
      <w:tr w14:paraId="245FC2F1">
        <w:tblPrEx>
          <w:tblCellMar>
            <w:top w:w="0" w:type="dxa"/>
            <w:left w:w="108" w:type="dxa"/>
            <w:bottom w:w="0" w:type="dxa"/>
            <w:right w:w="108" w:type="dxa"/>
          </w:tblCellMar>
        </w:tblPrEx>
        <w:trPr>
          <w:trHeight w:val="464"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543C660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水费、电费、差旅费</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0FA40DAB">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无</w:t>
            </w: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2720508A">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DB37">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无</w:t>
            </w:r>
          </w:p>
        </w:tc>
      </w:tr>
      <w:tr w14:paraId="419E3F9C">
        <w:tblPrEx>
          <w:tblCellMar>
            <w:top w:w="0" w:type="dxa"/>
            <w:left w:w="108" w:type="dxa"/>
            <w:bottom w:w="0" w:type="dxa"/>
            <w:right w:w="108" w:type="dxa"/>
          </w:tblCellMar>
        </w:tblPrEx>
        <w:trPr>
          <w:trHeight w:val="444"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2C3CCBD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会议费、培训费</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7479D58F">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无</w:t>
            </w: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45131610">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2万元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9A8B">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0.38万</w:t>
            </w:r>
          </w:p>
        </w:tc>
      </w:tr>
      <w:tr w14:paraId="5DAFDB36">
        <w:tblPrEx>
          <w:tblCellMar>
            <w:top w:w="0" w:type="dxa"/>
            <w:left w:w="108" w:type="dxa"/>
            <w:bottom w:w="0" w:type="dxa"/>
            <w:right w:w="108" w:type="dxa"/>
          </w:tblCellMar>
        </w:tblPrEx>
        <w:trPr>
          <w:trHeight w:val="504"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40C4BC6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政府采购金额</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70EFAACE">
            <w:pPr>
              <w:jc w:val="center"/>
              <w:rPr>
                <w:rFonts w:ascii="仿宋_GB2312" w:hAnsi="仿宋_GB2312" w:eastAsia="仿宋_GB2312" w:cs="仿宋_GB2312"/>
                <w:color w:val="000000"/>
                <w:sz w:val="22"/>
              </w:rPr>
            </w:pP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656E294B">
            <w:pPr>
              <w:jc w:val="center"/>
              <w:rPr>
                <w:rFonts w:ascii="仿宋_GB2312" w:hAnsi="仿宋_GB2312" w:eastAsia="仿宋_GB2312" w:cs="仿宋_GB2312"/>
                <w:color w:val="000000"/>
                <w:sz w:val="22"/>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B8F1">
            <w:pPr>
              <w:jc w:val="center"/>
              <w:rPr>
                <w:rFonts w:ascii="仿宋_GB2312" w:hAnsi="仿宋_GB2312" w:eastAsia="仿宋_GB2312" w:cs="仿宋_GB2312"/>
                <w:color w:val="000000"/>
                <w:sz w:val="22"/>
              </w:rPr>
            </w:pPr>
          </w:p>
        </w:tc>
      </w:tr>
      <w:tr w14:paraId="548C3808">
        <w:tblPrEx>
          <w:tblCellMar>
            <w:top w:w="0" w:type="dxa"/>
            <w:left w:w="108" w:type="dxa"/>
            <w:bottom w:w="0" w:type="dxa"/>
            <w:right w:w="108" w:type="dxa"/>
          </w:tblCellMar>
        </w:tblPrEx>
        <w:trPr>
          <w:trHeight w:val="549"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0CA49BC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部门基本支出预算调整 </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7F39BEBC">
            <w:pPr>
              <w:jc w:val="center"/>
              <w:rPr>
                <w:rFonts w:ascii="仿宋_GB2312" w:hAnsi="仿宋_GB2312" w:eastAsia="仿宋_GB2312" w:cs="仿宋_GB2312"/>
                <w:color w:val="000000"/>
                <w:sz w:val="22"/>
              </w:rPr>
            </w:pP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3FD314E6">
            <w:pPr>
              <w:jc w:val="center"/>
              <w:rPr>
                <w:rFonts w:ascii="仿宋_GB2312" w:hAnsi="仿宋_GB2312" w:eastAsia="仿宋_GB2312" w:cs="仿宋_GB2312"/>
                <w:color w:val="000000"/>
                <w:sz w:val="22"/>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0B0C">
            <w:pPr>
              <w:jc w:val="center"/>
              <w:rPr>
                <w:rFonts w:ascii="仿宋_GB2312" w:hAnsi="仿宋_GB2312" w:eastAsia="仿宋_GB2312" w:cs="仿宋_GB2312"/>
                <w:color w:val="000000"/>
                <w:sz w:val="22"/>
              </w:rPr>
            </w:pPr>
          </w:p>
        </w:tc>
      </w:tr>
      <w:tr w14:paraId="2CB5CDA7">
        <w:tblPrEx>
          <w:tblCellMar>
            <w:top w:w="0" w:type="dxa"/>
            <w:left w:w="108" w:type="dxa"/>
            <w:bottom w:w="0" w:type="dxa"/>
            <w:right w:w="108" w:type="dxa"/>
          </w:tblCellMar>
        </w:tblPrEx>
        <w:trPr>
          <w:trHeight w:val="703" w:hRule="atLeast"/>
        </w:trPr>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E2F4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楼堂馆所控制情况 </w:t>
            </w:r>
            <w:r>
              <w:rPr>
                <w:rFonts w:hint="eastAsia" w:ascii="仿宋_GB2312" w:hAnsi="仿宋_GB2312" w:eastAsia="仿宋_GB2312" w:cs="仿宋_GB2312"/>
                <w:color w:val="000000"/>
                <w:kern w:val="0"/>
                <w:sz w:val="22"/>
              </w:rPr>
              <w:br w:type="textWrapping"/>
            </w:r>
            <w:r>
              <w:rPr>
                <w:rFonts w:hint="eastAsia" w:ascii="仿宋_GB2312" w:hAnsi="仿宋_GB2312" w:eastAsia="仿宋_GB2312" w:cs="仿宋_GB2312"/>
                <w:color w:val="000000"/>
                <w:kern w:val="0"/>
                <w:sz w:val="22"/>
              </w:rPr>
              <w:t>（2023年完工项目）</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0E1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批复规模（㎡）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086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实际规模</w:t>
            </w:r>
            <w:r>
              <w:rPr>
                <w:rFonts w:hint="eastAsia" w:ascii="仿宋_GB2312" w:hAnsi="仿宋_GB2312" w:eastAsia="仿宋_GB2312" w:cs="仿宋_GB2312"/>
                <w:color w:val="000000"/>
                <w:kern w:val="0"/>
                <w:sz w:val="22"/>
              </w:rPr>
              <w:br w:type="textWrapping"/>
            </w:r>
            <w:r>
              <w:rPr>
                <w:rFonts w:hint="eastAsia" w:ascii="仿宋_GB2312" w:hAnsi="仿宋_GB2312" w:eastAsia="仿宋_GB2312" w:cs="仿宋_GB2312"/>
                <w:color w:val="000000"/>
                <w:kern w:val="0"/>
                <w:sz w:val="22"/>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DE3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spacing w:val="-20"/>
                <w:kern w:val="0"/>
                <w:sz w:val="22"/>
              </w:rPr>
              <w:t>规模控制率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02D6">
            <w:pPr>
              <w:widowControl/>
              <w:textAlignment w:val="center"/>
              <w:rPr>
                <w:rFonts w:ascii="仿宋_GB2312" w:hAnsi="仿宋_GB2312" w:eastAsia="仿宋_GB2312" w:cs="仿宋_GB2312"/>
                <w:color w:val="000000"/>
                <w:spacing w:val="-20"/>
                <w:sz w:val="22"/>
              </w:rPr>
            </w:pPr>
            <w:r>
              <w:rPr>
                <w:rFonts w:hint="eastAsia" w:ascii="仿宋_GB2312" w:hAnsi="仿宋_GB2312" w:eastAsia="仿宋_GB2312" w:cs="仿宋_GB2312"/>
                <w:color w:val="000000"/>
                <w:spacing w:val="-20"/>
                <w:kern w:val="0"/>
                <w:sz w:val="22"/>
              </w:rPr>
              <w:t>预算投资（万元）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F4B6">
            <w:pPr>
              <w:widowControl/>
              <w:jc w:val="center"/>
              <w:textAlignment w:val="center"/>
              <w:rPr>
                <w:rFonts w:ascii="仿宋_GB2312" w:hAnsi="仿宋_GB2312" w:eastAsia="仿宋_GB2312" w:cs="仿宋_GB2312"/>
                <w:color w:val="000000"/>
                <w:spacing w:val="-20"/>
                <w:sz w:val="22"/>
              </w:rPr>
            </w:pPr>
            <w:r>
              <w:rPr>
                <w:rFonts w:hint="eastAsia" w:ascii="仿宋_GB2312" w:hAnsi="仿宋_GB2312" w:eastAsia="仿宋_GB2312" w:cs="仿宋_GB2312"/>
                <w:color w:val="000000"/>
                <w:spacing w:val="-20"/>
                <w:kern w:val="0"/>
                <w:sz w:val="22"/>
              </w:rPr>
              <w:t>实际投资</w:t>
            </w:r>
            <w:r>
              <w:rPr>
                <w:rFonts w:hint="eastAsia" w:ascii="仿宋_GB2312" w:hAnsi="仿宋_GB2312" w:eastAsia="仿宋_GB2312" w:cs="仿宋_GB2312"/>
                <w:color w:val="000000"/>
                <w:spacing w:val="-20"/>
                <w:kern w:val="0"/>
                <w:sz w:val="22"/>
              </w:rPr>
              <w:br w:type="textWrapping"/>
            </w:r>
            <w:r>
              <w:rPr>
                <w:rFonts w:hint="eastAsia" w:ascii="仿宋_GB2312" w:hAnsi="仿宋_GB2312" w:eastAsia="仿宋_GB2312" w:cs="仿宋_GB2312"/>
                <w:color w:val="000000"/>
                <w:spacing w:val="-20"/>
                <w:kern w:val="0"/>
                <w:sz w:val="22"/>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63E4">
            <w:pPr>
              <w:widowControl/>
              <w:jc w:val="center"/>
              <w:textAlignment w:val="center"/>
              <w:rPr>
                <w:rFonts w:ascii="仿宋_GB2312" w:hAnsi="仿宋_GB2312" w:eastAsia="仿宋_GB2312" w:cs="仿宋_GB2312"/>
                <w:color w:val="000000"/>
                <w:spacing w:val="-20"/>
                <w:sz w:val="22"/>
              </w:rPr>
            </w:pPr>
            <w:r>
              <w:rPr>
                <w:rFonts w:hint="eastAsia" w:ascii="仿宋_GB2312" w:hAnsi="仿宋_GB2312" w:eastAsia="仿宋_GB2312" w:cs="仿宋_GB2312"/>
                <w:color w:val="000000"/>
                <w:spacing w:val="-20"/>
                <w:kern w:val="0"/>
                <w:sz w:val="22"/>
              </w:rPr>
              <w:t>投资概算控制率</w:t>
            </w:r>
          </w:p>
        </w:tc>
      </w:tr>
      <w:tr w14:paraId="1506C638">
        <w:tblPrEx>
          <w:tblCellMar>
            <w:top w:w="0" w:type="dxa"/>
            <w:left w:w="108" w:type="dxa"/>
            <w:bottom w:w="0" w:type="dxa"/>
            <w:right w:w="108" w:type="dxa"/>
          </w:tblCellMar>
        </w:tblPrEx>
        <w:trPr>
          <w:trHeight w:val="563" w:hRule="atLeast"/>
        </w:trPr>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1A54C">
            <w:pPr>
              <w:jc w:val="center"/>
              <w:rPr>
                <w:rFonts w:ascii="仿宋_GB2312" w:hAnsi="仿宋_GB2312" w:eastAsia="仿宋_GB2312" w:cs="仿宋_GB2312"/>
                <w:color w:val="000000"/>
                <w:sz w:val="22"/>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A705">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无</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885C">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无</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13EE">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587E">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0BE1">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0DB5">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无</w:t>
            </w:r>
          </w:p>
        </w:tc>
      </w:tr>
      <w:tr w14:paraId="7D93618D">
        <w:tblPrEx>
          <w:tblCellMar>
            <w:top w:w="0" w:type="dxa"/>
            <w:left w:w="108" w:type="dxa"/>
            <w:bottom w:w="0" w:type="dxa"/>
            <w:right w:w="108" w:type="dxa"/>
          </w:tblCellMar>
        </w:tblPrEx>
        <w:trPr>
          <w:trHeight w:val="1009" w:hRule="atLeast"/>
        </w:trPr>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D8F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厉行节约保障措施</w:t>
            </w:r>
          </w:p>
        </w:tc>
        <w:tc>
          <w:tcPr>
            <w:tcW w:w="618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CD22">
            <w:pPr>
              <w:jc w:val="center"/>
              <w:rPr>
                <w:rFonts w:ascii="仿宋_GB2312" w:hAnsi="仿宋_GB2312" w:eastAsia="仿宋_GB2312" w:cs="仿宋_GB2312"/>
                <w:color w:val="000000"/>
                <w:sz w:val="22"/>
              </w:rPr>
            </w:pPr>
          </w:p>
        </w:tc>
      </w:tr>
    </w:tbl>
    <w:p w14:paraId="16CDA199">
      <w:pPr>
        <w:rPr>
          <w:rFonts w:ascii="Times New Roman" w:hAnsi="Times New Roman" w:eastAsia="黑体"/>
          <w:sz w:val="32"/>
          <w:szCs w:val="32"/>
        </w:rPr>
      </w:pPr>
    </w:p>
    <w:p w14:paraId="7A6C068D">
      <w:pPr>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3</w:t>
      </w:r>
    </w:p>
    <w:p w14:paraId="5EFDC826">
      <w:pPr>
        <w:ind w:left="359" w:leftChars="171" w:right="640" w:firstLine="1540" w:firstLineChars="350"/>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部门整体支出绩效自评表</w:t>
      </w:r>
    </w:p>
    <w:tbl>
      <w:tblPr>
        <w:tblStyle w:val="5"/>
        <w:tblW w:w="9328" w:type="dxa"/>
        <w:tblInd w:w="93" w:type="dxa"/>
        <w:tblLayout w:type="fixed"/>
        <w:tblCellMar>
          <w:top w:w="0" w:type="dxa"/>
          <w:left w:w="108" w:type="dxa"/>
          <w:bottom w:w="0" w:type="dxa"/>
          <w:right w:w="108" w:type="dxa"/>
        </w:tblCellMar>
      </w:tblPr>
      <w:tblGrid>
        <w:gridCol w:w="600"/>
        <w:gridCol w:w="624"/>
        <w:gridCol w:w="828"/>
        <w:gridCol w:w="1332"/>
        <w:gridCol w:w="540"/>
        <w:gridCol w:w="442"/>
        <w:gridCol w:w="363"/>
        <w:gridCol w:w="590"/>
        <w:gridCol w:w="219"/>
        <w:gridCol w:w="846"/>
        <w:gridCol w:w="630"/>
        <w:gridCol w:w="300"/>
        <w:gridCol w:w="975"/>
        <w:gridCol w:w="1039"/>
      </w:tblGrid>
      <w:tr w14:paraId="2768EF32">
        <w:tblPrEx>
          <w:tblCellMar>
            <w:top w:w="0" w:type="dxa"/>
            <w:left w:w="108" w:type="dxa"/>
            <w:bottom w:w="0" w:type="dxa"/>
            <w:right w:w="108" w:type="dxa"/>
          </w:tblCellMar>
        </w:tblPrEx>
        <w:trPr>
          <w:trHeight w:val="545" w:hRule="atLeast"/>
        </w:trPr>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EA66">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预算部门名称</w:t>
            </w:r>
          </w:p>
        </w:tc>
        <w:tc>
          <w:tcPr>
            <w:tcW w:w="7276"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FDFA">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衡阳市市场监督管理事务中心</w:t>
            </w:r>
          </w:p>
        </w:tc>
      </w:tr>
      <w:tr w14:paraId="6AFBFBA7">
        <w:tblPrEx>
          <w:tblCellMar>
            <w:top w:w="0" w:type="dxa"/>
            <w:left w:w="108" w:type="dxa"/>
            <w:bottom w:w="0" w:type="dxa"/>
            <w:right w:w="108" w:type="dxa"/>
          </w:tblCellMar>
        </w:tblPrEx>
        <w:trPr>
          <w:trHeight w:val="680" w:hRule="atLeast"/>
        </w:trPr>
        <w:tc>
          <w:tcPr>
            <w:tcW w:w="20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8597B">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年度预算申请</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rPr>
              <w:t>(万元)</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4BC4">
            <w:pPr>
              <w:widowControl/>
              <w:spacing w:line="200" w:lineRule="exact"/>
              <w:jc w:val="center"/>
              <w:rPr>
                <w:rFonts w:ascii="仿宋_GB2312" w:hAnsi="仿宋_GB2312" w:eastAsia="仿宋_GB2312" w:cs="仿宋_GB2312"/>
                <w:color w:val="000000"/>
                <w:sz w:val="20"/>
                <w:szCs w:val="20"/>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DFC87">
            <w:pPr>
              <w:widowControl/>
              <w:spacing w:line="200" w:lineRule="exact"/>
              <w:textAlignment w:val="center"/>
              <w:rPr>
                <w:rFonts w:ascii="仿宋_GB2312" w:hAnsi="仿宋_GB2312" w:eastAsia="仿宋_GB2312" w:cs="仿宋_GB2312"/>
                <w:color w:val="000000"/>
                <w:spacing w:val="-20"/>
                <w:sz w:val="20"/>
                <w:szCs w:val="20"/>
              </w:rPr>
            </w:pPr>
            <w:r>
              <w:rPr>
                <w:rFonts w:hint="eastAsia" w:ascii="仿宋_GB2312" w:hAnsi="仿宋_GB2312" w:eastAsia="仿宋_GB2312" w:cs="仿宋_GB2312"/>
                <w:color w:val="000000"/>
                <w:spacing w:val="-20"/>
                <w:kern w:val="0"/>
                <w:sz w:val="20"/>
                <w:szCs w:val="20"/>
              </w:rPr>
              <w:t>年初预算数(万元)</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7F88D">
            <w:pPr>
              <w:widowControl/>
              <w:spacing w:line="200" w:lineRule="exact"/>
              <w:textAlignment w:val="center"/>
              <w:rPr>
                <w:rFonts w:ascii="仿宋_GB2312" w:hAnsi="仿宋_GB2312" w:eastAsia="仿宋_GB2312" w:cs="仿宋_GB2312"/>
                <w:color w:val="000000"/>
                <w:spacing w:val="-20"/>
                <w:sz w:val="20"/>
                <w:szCs w:val="20"/>
              </w:rPr>
            </w:pPr>
            <w:r>
              <w:rPr>
                <w:rFonts w:hint="eastAsia" w:ascii="仿宋_GB2312" w:hAnsi="仿宋_GB2312" w:eastAsia="仿宋_GB2312" w:cs="仿宋_GB2312"/>
                <w:color w:val="000000"/>
                <w:spacing w:val="-20"/>
                <w:kern w:val="0"/>
                <w:sz w:val="20"/>
                <w:szCs w:val="20"/>
              </w:rPr>
              <w:t>调整后预算数（万元）</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322F6">
            <w:pPr>
              <w:widowControl/>
              <w:spacing w:line="200" w:lineRule="exact"/>
              <w:jc w:val="center"/>
              <w:textAlignment w:val="center"/>
              <w:rPr>
                <w:rFonts w:ascii="仿宋_GB2312" w:hAnsi="仿宋_GB2312" w:eastAsia="仿宋_GB2312" w:cs="仿宋_GB2312"/>
                <w:color w:val="000000"/>
                <w:spacing w:val="-20"/>
                <w:sz w:val="20"/>
                <w:szCs w:val="20"/>
              </w:rPr>
            </w:pPr>
            <w:r>
              <w:rPr>
                <w:rFonts w:hint="eastAsia" w:ascii="仿宋_GB2312" w:hAnsi="仿宋_GB2312" w:eastAsia="仿宋_GB2312" w:cs="仿宋_GB2312"/>
                <w:color w:val="000000"/>
                <w:spacing w:val="-20"/>
                <w:kern w:val="0"/>
                <w:sz w:val="20"/>
                <w:szCs w:val="20"/>
              </w:rPr>
              <w:t>全年执行数（万元）</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758FD">
            <w:pPr>
              <w:widowControl/>
              <w:spacing w:line="200" w:lineRule="exact"/>
              <w:jc w:val="center"/>
              <w:textAlignment w:val="center"/>
              <w:rPr>
                <w:rFonts w:ascii="仿宋_GB2312" w:hAnsi="仿宋_GB2312" w:eastAsia="仿宋_GB2312" w:cs="仿宋_GB2312"/>
                <w:color w:val="000000"/>
                <w:spacing w:val="-20"/>
                <w:sz w:val="20"/>
                <w:szCs w:val="20"/>
              </w:rPr>
            </w:pPr>
            <w:r>
              <w:rPr>
                <w:rFonts w:hint="eastAsia" w:ascii="仿宋_GB2312" w:hAnsi="仿宋_GB2312" w:eastAsia="仿宋_GB2312" w:cs="仿宋_GB2312"/>
                <w:color w:val="000000"/>
                <w:spacing w:val="-20"/>
                <w:kern w:val="0"/>
                <w:sz w:val="20"/>
                <w:szCs w:val="20"/>
              </w:rPr>
              <w:t>分值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35B5">
            <w:pPr>
              <w:widowControl/>
              <w:spacing w:line="200" w:lineRule="exact"/>
              <w:jc w:val="center"/>
              <w:textAlignment w:val="center"/>
              <w:rPr>
                <w:rFonts w:ascii="仿宋_GB2312" w:hAnsi="仿宋_GB2312" w:eastAsia="仿宋_GB2312" w:cs="仿宋_GB2312"/>
                <w:color w:val="000000"/>
                <w:spacing w:val="-20"/>
                <w:sz w:val="20"/>
                <w:szCs w:val="20"/>
              </w:rPr>
            </w:pPr>
            <w:r>
              <w:rPr>
                <w:rFonts w:hint="eastAsia" w:ascii="仿宋_GB2312" w:hAnsi="仿宋_GB2312" w:eastAsia="仿宋_GB2312" w:cs="仿宋_GB2312"/>
                <w:color w:val="000000"/>
                <w:spacing w:val="-20"/>
                <w:kern w:val="0"/>
                <w:sz w:val="20"/>
                <w:szCs w:val="20"/>
              </w:rPr>
              <w:t>执行率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B457">
            <w:pPr>
              <w:widowControl/>
              <w:spacing w:line="200" w:lineRule="exact"/>
              <w:jc w:val="center"/>
              <w:textAlignment w:val="center"/>
              <w:rPr>
                <w:rFonts w:ascii="仿宋_GB2312" w:hAnsi="仿宋_GB2312" w:eastAsia="仿宋_GB2312" w:cs="仿宋_GB2312"/>
                <w:color w:val="000000"/>
                <w:spacing w:val="-20"/>
                <w:sz w:val="20"/>
                <w:szCs w:val="20"/>
              </w:rPr>
            </w:pPr>
            <w:r>
              <w:rPr>
                <w:rFonts w:hint="eastAsia" w:ascii="仿宋_GB2312" w:hAnsi="仿宋_GB2312" w:eastAsia="仿宋_GB2312" w:cs="仿宋_GB2312"/>
                <w:color w:val="000000"/>
                <w:spacing w:val="-20"/>
                <w:kern w:val="0"/>
                <w:sz w:val="20"/>
                <w:szCs w:val="20"/>
              </w:rPr>
              <w:t>得分</w:t>
            </w:r>
          </w:p>
        </w:tc>
      </w:tr>
      <w:tr w14:paraId="1D5A6262">
        <w:tblPrEx>
          <w:tblCellMar>
            <w:top w:w="0" w:type="dxa"/>
            <w:left w:w="108" w:type="dxa"/>
            <w:bottom w:w="0" w:type="dxa"/>
            <w:right w:w="108" w:type="dxa"/>
          </w:tblCellMar>
        </w:tblPrEx>
        <w:trPr>
          <w:trHeight w:val="478" w:hRule="atLeast"/>
        </w:trPr>
        <w:tc>
          <w:tcPr>
            <w:tcW w:w="20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00E74">
            <w:pPr>
              <w:widowControl/>
              <w:spacing w:line="200" w:lineRule="exact"/>
              <w:jc w:val="center"/>
              <w:rPr>
                <w:rFonts w:ascii="仿宋_GB2312" w:hAnsi="仿宋_GB2312" w:eastAsia="仿宋_GB2312" w:cs="仿宋_GB2312"/>
                <w:color w:val="000000"/>
                <w:sz w:val="20"/>
                <w:szCs w:val="20"/>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4A1A">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年度资金总额：</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2CDCF">
            <w:pPr>
              <w:widowControl/>
              <w:spacing w:line="200" w:lineRule="exact"/>
              <w:jc w:val="center"/>
              <w:textAlignment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444.12</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8725F">
            <w:pPr>
              <w:widowControl/>
              <w:spacing w:line="200" w:lineRule="exact"/>
              <w:jc w:val="center"/>
              <w:textAlignment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459.48</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85A76">
            <w:pPr>
              <w:widowControl/>
              <w:spacing w:line="200" w:lineRule="exact"/>
              <w:jc w:val="center"/>
              <w:textAlignment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448.7</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39A8A">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9277">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w:t>
            </w:r>
            <w:r>
              <w:rPr>
                <w:rFonts w:hint="eastAsia" w:ascii="仿宋_GB2312" w:hAnsi="仿宋_GB2312" w:eastAsia="仿宋_GB2312" w:cs="仿宋_GB2312"/>
                <w:color w:val="000000"/>
                <w:sz w:val="20"/>
                <w:szCs w:val="20"/>
                <w:lang w:val="en-US" w:eastAsia="zh-CN"/>
              </w:rPr>
              <w:t>7.65</w:t>
            </w:r>
            <w:r>
              <w:rPr>
                <w:rFonts w:hint="eastAsia" w:ascii="仿宋_GB2312" w:hAnsi="仿宋_GB2312" w:eastAsia="仿宋_GB2312" w:cs="仿宋_GB2312"/>
                <w:color w:val="000000"/>
                <w:sz w:val="20"/>
                <w:szCs w:val="20"/>
              </w:rPr>
              <w:t>%</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5F2A">
            <w:pPr>
              <w:widowControl/>
              <w:spacing w:line="20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9.77</w:t>
            </w:r>
          </w:p>
        </w:tc>
      </w:tr>
      <w:tr w14:paraId="57C6E325">
        <w:tblPrEx>
          <w:tblCellMar>
            <w:top w:w="0" w:type="dxa"/>
            <w:left w:w="108" w:type="dxa"/>
            <w:bottom w:w="0" w:type="dxa"/>
            <w:right w:w="108" w:type="dxa"/>
          </w:tblCellMar>
        </w:tblPrEx>
        <w:trPr>
          <w:trHeight w:val="468" w:hRule="atLeast"/>
        </w:trPr>
        <w:tc>
          <w:tcPr>
            <w:tcW w:w="20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3D078">
            <w:pPr>
              <w:widowControl/>
              <w:spacing w:line="200" w:lineRule="exact"/>
              <w:jc w:val="center"/>
              <w:rPr>
                <w:rFonts w:ascii="仿宋_GB2312" w:hAnsi="仿宋_GB2312" w:eastAsia="仿宋_GB2312" w:cs="仿宋_GB2312"/>
                <w:color w:val="000000"/>
                <w:sz w:val="20"/>
                <w:szCs w:val="20"/>
              </w:rPr>
            </w:pPr>
          </w:p>
        </w:tc>
        <w:tc>
          <w:tcPr>
            <w:tcW w:w="43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B5CDC7">
            <w:pPr>
              <w:widowControl/>
              <w:spacing w:line="2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按收入性质分：</w:t>
            </w:r>
          </w:p>
        </w:tc>
        <w:tc>
          <w:tcPr>
            <w:tcW w:w="2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18A192">
            <w:pPr>
              <w:widowControl/>
              <w:spacing w:line="2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按支出性质分：</w:t>
            </w:r>
          </w:p>
        </w:tc>
      </w:tr>
      <w:tr w14:paraId="24A9DAB8">
        <w:tblPrEx>
          <w:tblCellMar>
            <w:top w:w="0" w:type="dxa"/>
            <w:left w:w="108" w:type="dxa"/>
            <w:bottom w:w="0" w:type="dxa"/>
            <w:right w:w="108" w:type="dxa"/>
          </w:tblCellMar>
        </w:tblPrEx>
        <w:trPr>
          <w:trHeight w:val="518" w:hRule="atLeast"/>
        </w:trPr>
        <w:tc>
          <w:tcPr>
            <w:tcW w:w="20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591D9">
            <w:pPr>
              <w:widowControl/>
              <w:spacing w:line="200" w:lineRule="exact"/>
              <w:jc w:val="center"/>
              <w:rPr>
                <w:rFonts w:ascii="仿宋_GB2312" w:hAnsi="仿宋_GB2312" w:eastAsia="仿宋_GB2312" w:cs="仿宋_GB2312"/>
                <w:color w:val="000000"/>
                <w:sz w:val="20"/>
                <w:szCs w:val="20"/>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FA5D">
            <w:pPr>
              <w:widowControl/>
              <w:spacing w:line="20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一般公共预算：</w:t>
            </w:r>
          </w:p>
        </w:tc>
        <w:tc>
          <w:tcPr>
            <w:tcW w:w="30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ABA722">
            <w:pPr>
              <w:widowControl/>
              <w:spacing w:line="200" w:lineRule="exact"/>
              <w:ind w:firstLine="1000" w:firstLineChars="500"/>
              <w:textAlignment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448.7</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CF4CD">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其中:基本支出：</w:t>
            </w:r>
          </w:p>
        </w:tc>
        <w:tc>
          <w:tcPr>
            <w:tcW w:w="2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0C7EB">
            <w:pPr>
              <w:widowControl/>
              <w:spacing w:line="200" w:lineRule="exact"/>
              <w:jc w:val="center"/>
              <w:textAlignment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429.17</w:t>
            </w:r>
          </w:p>
        </w:tc>
      </w:tr>
      <w:tr w14:paraId="6E44913D">
        <w:tblPrEx>
          <w:tblCellMar>
            <w:top w:w="0" w:type="dxa"/>
            <w:left w:w="108" w:type="dxa"/>
            <w:bottom w:w="0" w:type="dxa"/>
            <w:right w:w="108" w:type="dxa"/>
          </w:tblCellMar>
        </w:tblPrEx>
        <w:trPr>
          <w:trHeight w:val="584" w:hRule="atLeast"/>
        </w:trPr>
        <w:tc>
          <w:tcPr>
            <w:tcW w:w="20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73FB5">
            <w:pPr>
              <w:widowControl/>
              <w:spacing w:line="200" w:lineRule="exact"/>
              <w:jc w:val="center"/>
              <w:rPr>
                <w:rFonts w:ascii="仿宋_GB2312" w:hAnsi="仿宋_GB2312" w:eastAsia="仿宋_GB2312" w:cs="仿宋_GB2312"/>
                <w:color w:val="000000"/>
                <w:sz w:val="20"/>
                <w:szCs w:val="20"/>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6F44">
            <w:pPr>
              <w:widowControl/>
              <w:spacing w:line="20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政府性基金拨款：</w:t>
            </w:r>
          </w:p>
        </w:tc>
        <w:tc>
          <w:tcPr>
            <w:tcW w:w="30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884823">
            <w:pPr>
              <w:widowControl/>
              <w:spacing w:line="200" w:lineRule="exact"/>
              <w:jc w:val="center"/>
              <w:textAlignment w:val="center"/>
              <w:rPr>
                <w:rFonts w:ascii="仿宋_GB2312" w:hAnsi="仿宋_GB2312" w:eastAsia="仿宋_GB2312" w:cs="仿宋_GB2312"/>
                <w:color w:val="000000"/>
                <w:sz w:val="20"/>
                <w:szCs w:val="20"/>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ABD12">
            <w:pPr>
              <w:widowControl/>
              <w:spacing w:line="200" w:lineRule="exact"/>
              <w:jc w:val="center"/>
              <w:rPr>
                <w:rFonts w:ascii="仿宋_GB2312" w:hAnsi="仿宋_GB2312" w:eastAsia="仿宋_GB2312" w:cs="仿宋_GB2312"/>
                <w:color w:val="000000"/>
                <w:sz w:val="20"/>
                <w:szCs w:val="20"/>
              </w:rPr>
            </w:pPr>
          </w:p>
        </w:tc>
        <w:tc>
          <w:tcPr>
            <w:tcW w:w="2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F5FEA">
            <w:pPr>
              <w:widowControl/>
              <w:spacing w:line="200" w:lineRule="exact"/>
              <w:jc w:val="center"/>
              <w:rPr>
                <w:rFonts w:ascii="仿宋_GB2312" w:hAnsi="仿宋_GB2312" w:eastAsia="仿宋_GB2312" w:cs="仿宋_GB2312"/>
                <w:color w:val="000000"/>
                <w:sz w:val="20"/>
                <w:szCs w:val="20"/>
              </w:rPr>
            </w:pPr>
          </w:p>
        </w:tc>
      </w:tr>
      <w:tr w14:paraId="65611F96">
        <w:tblPrEx>
          <w:tblCellMar>
            <w:top w:w="0" w:type="dxa"/>
            <w:left w:w="108" w:type="dxa"/>
            <w:bottom w:w="0" w:type="dxa"/>
            <w:right w:w="108" w:type="dxa"/>
          </w:tblCellMar>
        </w:tblPrEx>
        <w:trPr>
          <w:trHeight w:val="565" w:hRule="atLeast"/>
        </w:trPr>
        <w:tc>
          <w:tcPr>
            <w:tcW w:w="20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33670">
            <w:pPr>
              <w:widowControl/>
              <w:spacing w:line="200" w:lineRule="exact"/>
              <w:jc w:val="center"/>
              <w:rPr>
                <w:rFonts w:ascii="仿宋_GB2312" w:hAnsi="仿宋_GB2312" w:eastAsia="仿宋_GB2312" w:cs="仿宋_GB2312"/>
                <w:color w:val="000000"/>
                <w:sz w:val="20"/>
                <w:szCs w:val="20"/>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873C">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纳入专户管理的非税收入拨款：</w:t>
            </w:r>
          </w:p>
        </w:tc>
        <w:tc>
          <w:tcPr>
            <w:tcW w:w="30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9067EB">
            <w:pPr>
              <w:widowControl/>
              <w:spacing w:line="200" w:lineRule="exact"/>
              <w:ind w:firstLine="1200" w:firstLineChars="600"/>
              <w:textAlignment w:val="center"/>
              <w:rPr>
                <w:rFonts w:hint="default" w:ascii="仿宋_GB2312" w:hAnsi="仿宋_GB2312" w:eastAsia="仿宋_GB2312" w:cs="仿宋_GB2312"/>
                <w:color w:val="000000"/>
                <w:sz w:val="20"/>
                <w:szCs w:val="20"/>
                <w:lang w:val="en-US" w:eastAsia="zh-CN"/>
              </w:rPr>
            </w:pP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E9210">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项目支出：</w:t>
            </w:r>
          </w:p>
        </w:tc>
        <w:tc>
          <w:tcPr>
            <w:tcW w:w="2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9F8D4">
            <w:pPr>
              <w:widowControl/>
              <w:spacing w:line="200" w:lineRule="exact"/>
              <w:jc w:val="center"/>
              <w:textAlignment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19.53</w:t>
            </w:r>
          </w:p>
        </w:tc>
      </w:tr>
      <w:tr w14:paraId="6A2F66E4">
        <w:tblPrEx>
          <w:tblCellMar>
            <w:top w:w="0" w:type="dxa"/>
            <w:left w:w="108" w:type="dxa"/>
            <w:bottom w:w="0" w:type="dxa"/>
            <w:right w:w="108" w:type="dxa"/>
          </w:tblCellMar>
        </w:tblPrEx>
        <w:trPr>
          <w:trHeight w:val="534" w:hRule="atLeast"/>
        </w:trPr>
        <w:tc>
          <w:tcPr>
            <w:tcW w:w="20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7328B">
            <w:pPr>
              <w:widowControl/>
              <w:spacing w:line="200" w:lineRule="exact"/>
              <w:jc w:val="center"/>
              <w:rPr>
                <w:rFonts w:ascii="仿宋_GB2312" w:hAnsi="仿宋_GB2312" w:eastAsia="仿宋_GB2312" w:cs="仿宋_GB2312"/>
                <w:color w:val="000000"/>
                <w:sz w:val="20"/>
                <w:szCs w:val="20"/>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8ABE">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其他资金</w:t>
            </w:r>
          </w:p>
        </w:tc>
        <w:tc>
          <w:tcPr>
            <w:tcW w:w="30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478013">
            <w:pPr>
              <w:widowControl/>
              <w:spacing w:line="200" w:lineRule="exact"/>
              <w:jc w:val="center"/>
              <w:textAlignment w:val="center"/>
              <w:rPr>
                <w:rFonts w:ascii="仿宋_GB2312" w:hAnsi="仿宋_GB2312" w:eastAsia="仿宋_GB2312" w:cs="仿宋_GB2312"/>
                <w:color w:val="000000"/>
                <w:sz w:val="20"/>
                <w:szCs w:val="20"/>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32B62">
            <w:pPr>
              <w:widowControl/>
              <w:spacing w:line="200" w:lineRule="exact"/>
              <w:jc w:val="center"/>
              <w:rPr>
                <w:rFonts w:ascii="仿宋_GB2312" w:hAnsi="仿宋_GB2312" w:eastAsia="仿宋_GB2312" w:cs="仿宋_GB2312"/>
                <w:color w:val="000000"/>
                <w:sz w:val="20"/>
                <w:szCs w:val="20"/>
              </w:rPr>
            </w:pPr>
          </w:p>
        </w:tc>
        <w:tc>
          <w:tcPr>
            <w:tcW w:w="2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1BEFA">
            <w:pPr>
              <w:widowControl/>
              <w:spacing w:line="200" w:lineRule="exact"/>
              <w:jc w:val="center"/>
              <w:rPr>
                <w:rFonts w:ascii="仿宋_GB2312" w:hAnsi="仿宋_GB2312" w:eastAsia="仿宋_GB2312" w:cs="仿宋_GB2312"/>
                <w:color w:val="000000"/>
                <w:sz w:val="20"/>
                <w:szCs w:val="20"/>
              </w:rPr>
            </w:pPr>
          </w:p>
        </w:tc>
      </w:tr>
      <w:tr w14:paraId="60174E55">
        <w:tblPrEx>
          <w:tblCellMar>
            <w:top w:w="0" w:type="dxa"/>
            <w:left w:w="108" w:type="dxa"/>
            <w:bottom w:w="0" w:type="dxa"/>
            <w:right w:w="108" w:type="dxa"/>
          </w:tblCellMar>
        </w:tblPrEx>
        <w:trPr>
          <w:trHeight w:val="437" w:hRule="atLeast"/>
        </w:trPr>
        <w:tc>
          <w:tcPr>
            <w:tcW w:w="20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EC5EC">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年度总体目标</w:t>
            </w:r>
          </w:p>
        </w:tc>
        <w:tc>
          <w:tcPr>
            <w:tcW w:w="43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732C83">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预期目标</w:t>
            </w:r>
          </w:p>
        </w:tc>
        <w:tc>
          <w:tcPr>
            <w:tcW w:w="2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525176">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实际完成情况</w:t>
            </w:r>
          </w:p>
        </w:tc>
      </w:tr>
      <w:tr w14:paraId="49CC41BB">
        <w:tblPrEx>
          <w:tblCellMar>
            <w:top w:w="0" w:type="dxa"/>
            <w:left w:w="108" w:type="dxa"/>
            <w:bottom w:w="0" w:type="dxa"/>
            <w:right w:w="108" w:type="dxa"/>
          </w:tblCellMar>
        </w:tblPrEx>
        <w:trPr>
          <w:trHeight w:val="640" w:hRule="atLeast"/>
        </w:trPr>
        <w:tc>
          <w:tcPr>
            <w:tcW w:w="20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726A8">
            <w:pPr>
              <w:widowControl/>
              <w:spacing w:line="200" w:lineRule="exact"/>
              <w:jc w:val="center"/>
              <w:rPr>
                <w:rFonts w:ascii="仿宋_GB2312" w:hAnsi="仿宋_GB2312" w:eastAsia="仿宋_GB2312" w:cs="仿宋_GB2312"/>
                <w:color w:val="000000"/>
                <w:sz w:val="20"/>
                <w:szCs w:val="20"/>
              </w:rPr>
            </w:pPr>
          </w:p>
        </w:tc>
        <w:tc>
          <w:tcPr>
            <w:tcW w:w="43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B02E71">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创文创卫、长江流域禁渔退捕、疫情防控、马路市场整治全年巡查全覆盖</w:t>
            </w:r>
          </w:p>
        </w:tc>
        <w:tc>
          <w:tcPr>
            <w:tcW w:w="2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6C4702">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每周定时巡查，测评点全覆盖</w:t>
            </w:r>
          </w:p>
        </w:tc>
      </w:tr>
      <w:tr w14:paraId="34E48555">
        <w:tblPrEx>
          <w:tblCellMar>
            <w:top w:w="0" w:type="dxa"/>
            <w:left w:w="108" w:type="dxa"/>
            <w:bottom w:w="0" w:type="dxa"/>
            <w:right w:w="108" w:type="dxa"/>
          </w:tblCellMar>
        </w:tblPrEx>
        <w:trPr>
          <w:trHeight w:val="308"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71327">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pacing w:val="-20"/>
                <w:kern w:val="0"/>
                <w:sz w:val="20"/>
                <w:szCs w:val="20"/>
              </w:rPr>
              <w:t>绩效指标</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3279D">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一级指标</w:t>
            </w: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5732F">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二级指标</w:t>
            </w:r>
          </w:p>
        </w:tc>
        <w:tc>
          <w:tcPr>
            <w:tcW w:w="18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B7286">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三级指标</w:t>
            </w:r>
          </w:p>
        </w:tc>
        <w:tc>
          <w:tcPr>
            <w:tcW w:w="8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B7FEE">
            <w:pPr>
              <w:widowControl/>
              <w:spacing w:line="200" w:lineRule="exact"/>
              <w:jc w:val="center"/>
              <w:textAlignment w:val="center"/>
              <w:rPr>
                <w:rFonts w:ascii="仿宋_GB2312" w:hAnsi="仿宋_GB2312" w:eastAsia="仿宋_GB2312" w:cs="仿宋_GB2312"/>
                <w:color w:val="000000"/>
                <w:spacing w:val="-20"/>
                <w:sz w:val="20"/>
                <w:szCs w:val="20"/>
              </w:rPr>
            </w:pPr>
            <w:r>
              <w:rPr>
                <w:rFonts w:hint="eastAsia" w:ascii="仿宋_GB2312" w:hAnsi="仿宋_GB2312" w:eastAsia="仿宋_GB2312" w:cs="仿宋_GB2312"/>
                <w:color w:val="000000"/>
                <w:spacing w:val="-20"/>
                <w:kern w:val="0"/>
                <w:sz w:val="20"/>
                <w:szCs w:val="20"/>
              </w:rPr>
              <w:t>年度  指标值</w:t>
            </w:r>
          </w:p>
        </w:tc>
        <w:tc>
          <w:tcPr>
            <w:tcW w:w="8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017A7">
            <w:pPr>
              <w:widowControl/>
              <w:spacing w:line="200" w:lineRule="exact"/>
              <w:jc w:val="center"/>
              <w:textAlignment w:val="center"/>
              <w:rPr>
                <w:rFonts w:ascii="仿宋_GB2312" w:hAnsi="仿宋_GB2312" w:eastAsia="仿宋_GB2312" w:cs="仿宋_GB2312"/>
                <w:color w:val="000000"/>
                <w:spacing w:val="-20"/>
                <w:sz w:val="20"/>
                <w:szCs w:val="20"/>
              </w:rPr>
            </w:pPr>
            <w:r>
              <w:rPr>
                <w:rFonts w:hint="eastAsia" w:ascii="仿宋_GB2312" w:hAnsi="仿宋_GB2312" w:eastAsia="仿宋_GB2312" w:cs="仿宋_GB2312"/>
                <w:color w:val="000000"/>
                <w:spacing w:val="-20"/>
                <w:kern w:val="0"/>
                <w:sz w:val="20"/>
                <w:szCs w:val="20"/>
              </w:rPr>
              <w:t>实际  完成值</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9CA80">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分值</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79992">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得分</w:t>
            </w:r>
          </w:p>
        </w:tc>
        <w:tc>
          <w:tcPr>
            <w:tcW w:w="231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D091">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偏差原因分析及改进 措施</w:t>
            </w:r>
          </w:p>
        </w:tc>
      </w:tr>
      <w:tr w14:paraId="63D785A5">
        <w:tblPrEx>
          <w:tblCellMar>
            <w:top w:w="0" w:type="dxa"/>
            <w:left w:w="108" w:type="dxa"/>
            <w:bottom w:w="0" w:type="dxa"/>
            <w:right w:w="108" w:type="dxa"/>
          </w:tblCellMar>
        </w:tblPrEx>
        <w:trPr>
          <w:trHeight w:val="31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94144">
            <w:pPr>
              <w:widowControl/>
              <w:spacing w:line="200" w:lineRule="exact"/>
              <w:jc w:val="center"/>
              <w:rPr>
                <w:rFonts w:ascii="仿宋_GB2312" w:hAnsi="仿宋_GB2312" w:eastAsia="仿宋_GB2312" w:cs="仿宋_GB2312"/>
                <w:color w:val="000000"/>
                <w:sz w:val="20"/>
                <w:szCs w:val="20"/>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F0724">
            <w:pPr>
              <w:widowControl/>
              <w:spacing w:line="200" w:lineRule="exact"/>
              <w:jc w:val="center"/>
              <w:rPr>
                <w:rFonts w:ascii="仿宋_GB2312" w:hAnsi="仿宋_GB2312" w:eastAsia="仿宋_GB2312" w:cs="仿宋_GB2312"/>
                <w:color w:val="000000"/>
                <w:sz w:val="20"/>
                <w:szCs w:val="20"/>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16F42">
            <w:pPr>
              <w:widowControl/>
              <w:spacing w:line="200" w:lineRule="exact"/>
              <w:jc w:val="center"/>
              <w:rPr>
                <w:rFonts w:ascii="仿宋_GB2312" w:hAnsi="仿宋_GB2312" w:eastAsia="仿宋_GB2312" w:cs="仿宋_GB2312"/>
                <w:color w:val="000000"/>
                <w:sz w:val="20"/>
                <w:szCs w:val="20"/>
              </w:rPr>
            </w:pPr>
          </w:p>
        </w:tc>
        <w:tc>
          <w:tcPr>
            <w:tcW w:w="18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98EA7">
            <w:pPr>
              <w:widowControl/>
              <w:spacing w:line="200" w:lineRule="exact"/>
              <w:jc w:val="center"/>
              <w:rPr>
                <w:rFonts w:ascii="仿宋_GB2312" w:hAnsi="仿宋_GB2312" w:eastAsia="仿宋_GB2312" w:cs="仿宋_GB2312"/>
                <w:color w:val="000000"/>
                <w:sz w:val="20"/>
                <w:szCs w:val="20"/>
              </w:rPr>
            </w:pPr>
          </w:p>
        </w:tc>
        <w:tc>
          <w:tcPr>
            <w:tcW w:w="8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B10AC">
            <w:pPr>
              <w:widowControl/>
              <w:spacing w:line="200" w:lineRule="exact"/>
              <w:jc w:val="center"/>
              <w:rPr>
                <w:rFonts w:ascii="仿宋_GB2312" w:hAnsi="仿宋_GB2312" w:eastAsia="仿宋_GB2312" w:cs="仿宋_GB2312"/>
                <w:color w:val="000000"/>
                <w:sz w:val="20"/>
                <w:szCs w:val="20"/>
              </w:rPr>
            </w:pPr>
          </w:p>
        </w:tc>
        <w:tc>
          <w:tcPr>
            <w:tcW w:w="8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F24D6">
            <w:pPr>
              <w:widowControl/>
              <w:spacing w:line="200" w:lineRule="exact"/>
              <w:jc w:val="center"/>
              <w:rPr>
                <w:rFonts w:ascii="仿宋_GB2312" w:hAnsi="仿宋_GB2312" w:eastAsia="仿宋_GB2312" w:cs="仿宋_GB2312"/>
                <w:color w:val="000000"/>
                <w:sz w:val="20"/>
                <w:szCs w:val="20"/>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413AB">
            <w:pPr>
              <w:widowControl/>
              <w:spacing w:line="200" w:lineRule="exact"/>
              <w:jc w:val="center"/>
              <w:rPr>
                <w:rFonts w:ascii="仿宋_GB2312" w:hAnsi="仿宋_GB2312" w:eastAsia="仿宋_GB2312" w:cs="仿宋_GB2312"/>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64163">
            <w:pPr>
              <w:widowControl/>
              <w:spacing w:line="200" w:lineRule="exact"/>
              <w:jc w:val="center"/>
              <w:rPr>
                <w:rFonts w:ascii="仿宋_GB2312" w:hAnsi="仿宋_GB2312" w:eastAsia="仿宋_GB2312" w:cs="仿宋_GB2312"/>
                <w:color w:val="000000"/>
                <w:sz w:val="20"/>
                <w:szCs w:val="20"/>
              </w:rPr>
            </w:pPr>
          </w:p>
        </w:tc>
        <w:tc>
          <w:tcPr>
            <w:tcW w:w="23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F9A7">
            <w:pPr>
              <w:widowControl/>
              <w:spacing w:line="200" w:lineRule="exact"/>
              <w:jc w:val="center"/>
              <w:rPr>
                <w:rFonts w:ascii="仿宋_GB2312" w:hAnsi="仿宋_GB2312" w:eastAsia="仿宋_GB2312" w:cs="仿宋_GB2312"/>
                <w:color w:val="000000"/>
                <w:sz w:val="20"/>
                <w:szCs w:val="20"/>
              </w:rPr>
            </w:pPr>
          </w:p>
        </w:tc>
      </w:tr>
      <w:tr w14:paraId="7FD4E95B">
        <w:tblPrEx>
          <w:tblCellMar>
            <w:top w:w="0" w:type="dxa"/>
            <w:left w:w="108" w:type="dxa"/>
            <w:bottom w:w="0" w:type="dxa"/>
            <w:right w:w="108" w:type="dxa"/>
          </w:tblCellMar>
        </w:tblPrEx>
        <w:trPr>
          <w:trHeight w:val="524"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2A1D3">
            <w:pPr>
              <w:widowControl/>
              <w:spacing w:line="2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绩效指标</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1677">
            <w:pPr>
              <w:widowControl/>
              <w:spacing w:line="200" w:lineRule="exact"/>
              <w:jc w:val="left"/>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成本指标</w:t>
            </w:r>
          </w:p>
          <w:p w14:paraId="49B0F54C">
            <w:pPr>
              <w:widowControl/>
              <w:spacing w:line="200" w:lineRule="exact"/>
              <w:jc w:val="left"/>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（20分）</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F89F">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经济成本指标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4F97B">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成本控制率</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D3BC8">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不超过预算内成本</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E13EB">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C0D6">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26B0">
            <w:pPr>
              <w:widowControl/>
              <w:spacing w:line="20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7BDD">
            <w:pPr>
              <w:widowControl/>
              <w:spacing w:line="200" w:lineRule="exact"/>
              <w:jc w:val="center"/>
              <w:rPr>
                <w:rFonts w:ascii="仿宋_GB2312" w:hAnsi="仿宋_GB2312" w:eastAsia="仿宋_GB2312" w:cs="仿宋_GB2312"/>
                <w:color w:val="000000"/>
                <w:sz w:val="20"/>
                <w:szCs w:val="20"/>
              </w:rPr>
            </w:pPr>
          </w:p>
        </w:tc>
      </w:tr>
      <w:tr w14:paraId="36D377E8">
        <w:tblPrEx>
          <w:tblCellMar>
            <w:top w:w="0" w:type="dxa"/>
            <w:left w:w="108" w:type="dxa"/>
            <w:bottom w:w="0" w:type="dxa"/>
            <w:right w:w="108" w:type="dxa"/>
          </w:tblCellMar>
        </w:tblPrEx>
        <w:trPr>
          <w:trHeight w:val="5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A2506">
            <w:pPr>
              <w:widowControl/>
              <w:spacing w:line="200" w:lineRule="exact"/>
              <w:rPr>
                <w:rFonts w:ascii="仿宋_GB2312" w:hAnsi="仿宋_GB2312" w:eastAsia="仿宋_GB2312" w:cs="仿宋_GB2312"/>
                <w:color w:val="000000"/>
                <w:sz w:val="20"/>
                <w:szCs w:val="20"/>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B379">
            <w:pPr>
              <w:widowControl/>
              <w:spacing w:line="200" w:lineRule="exact"/>
              <w:rPr>
                <w:rFonts w:ascii="仿宋_GB2312" w:hAnsi="仿宋_GB2312" w:eastAsia="仿宋_GB2312" w:cs="仿宋_GB2312"/>
                <w:color w:val="000000"/>
                <w:sz w:val="20"/>
                <w:szCs w:val="20"/>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4D8B">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社会成本指标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E8D9D">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推动创文创卫工作</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77451">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有效推动创文创卫工作正常进行</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3ACBA">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EFA5">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C39A">
            <w:pPr>
              <w:widowControl/>
              <w:spacing w:line="20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FDC4">
            <w:pPr>
              <w:widowControl/>
              <w:spacing w:line="200" w:lineRule="exact"/>
              <w:jc w:val="center"/>
              <w:rPr>
                <w:rFonts w:ascii="仿宋_GB2312" w:hAnsi="仿宋_GB2312" w:eastAsia="仿宋_GB2312" w:cs="仿宋_GB2312"/>
                <w:color w:val="000000"/>
                <w:sz w:val="20"/>
                <w:szCs w:val="20"/>
              </w:rPr>
            </w:pPr>
          </w:p>
        </w:tc>
      </w:tr>
      <w:tr w14:paraId="20F59A66">
        <w:tblPrEx>
          <w:tblCellMar>
            <w:top w:w="0" w:type="dxa"/>
            <w:left w:w="108" w:type="dxa"/>
            <w:bottom w:w="0" w:type="dxa"/>
            <w:right w:w="108" w:type="dxa"/>
          </w:tblCellMar>
        </w:tblPrEx>
        <w:trPr>
          <w:trHeight w:val="5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A34FD">
            <w:pPr>
              <w:widowControl/>
              <w:spacing w:line="200" w:lineRule="exact"/>
              <w:rPr>
                <w:rFonts w:ascii="仿宋_GB2312" w:hAnsi="仿宋_GB2312" w:eastAsia="仿宋_GB2312" w:cs="仿宋_GB2312"/>
                <w:color w:val="000000"/>
                <w:sz w:val="20"/>
                <w:szCs w:val="20"/>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7432">
            <w:pPr>
              <w:widowControl/>
              <w:spacing w:line="200" w:lineRule="exact"/>
              <w:rPr>
                <w:rFonts w:ascii="仿宋_GB2312" w:hAnsi="仿宋_GB2312" w:eastAsia="仿宋_GB2312" w:cs="仿宋_GB2312"/>
                <w:color w:val="000000"/>
                <w:sz w:val="20"/>
                <w:szCs w:val="20"/>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3C3E">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生态环境指标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55064">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0070E">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F799E">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F7EE">
            <w:pPr>
              <w:widowControl/>
              <w:spacing w:line="200" w:lineRule="exact"/>
              <w:jc w:val="center"/>
              <w:rPr>
                <w:rFonts w:ascii="仿宋_GB2312" w:hAnsi="仿宋_GB2312" w:eastAsia="仿宋_GB2312" w:cs="仿宋_GB2312"/>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F6CA">
            <w:pPr>
              <w:widowControl/>
              <w:spacing w:line="200" w:lineRule="exact"/>
              <w:rPr>
                <w:rFonts w:ascii="仿宋_GB2312" w:hAnsi="仿宋_GB2312" w:eastAsia="仿宋_GB2312" w:cs="仿宋_GB2312"/>
                <w:color w:val="000000"/>
                <w:sz w:val="20"/>
                <w:szCs w:val="20"/>
              </w:rPr>
            </w:pP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7276">
            <w:pPr>
              <w:widowControl/>
              <w:spacing w:line="200" w:lineRule="exact"/>
              <w:jc w:val="center"/>
              <w:rPr>
                <w:rFonts w:ascii="仿宋_GB2312" w:hAnsi="仿宋_GB2312" w:eastAsia="仿宋_GB2312" w:cs="仿宋_GB2312"/>
                <w:color w:val="000000"/>
                <w:sz w:val="20"/>
                <w:szCs w:val="20"/>
              </w:rPr>
            </w:pPr>
          </w:p>
        </w:tc>
      </w:tr>
      <w:tr w14:paraId="5682112A">
        <w:tblPrEx>
          <w:tblCellMar>
            <w:top w:w="0" w:type="dxa"/>
            <w:left w:w="108" w:type="dxa"/>
            <w:bottom w:w="0" w:type="dxa"/>
            <w:right w:w="108" w:type="dxa"/>
          </w:tblCellMar>
        </w:tblPrEx>
        <w:trPr>
          <w:trHeight w:val="49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DE0A1">
            <w:pPr>
              <w:widowControl/>
              <w:spacing w:line="200" w:lineRule="exact"/>
              <w:rPr>
                <w:rFonts w:ascii="仿宋_GB2312" w:hAnsi="仿宋_GB2312" w:eastAsia="仿宋_GB2312" w:cs="仿宋_GB2312"/>
                <w:color w:val="000000"/>
                <w:sz w:val="20"/>
                <w:szCs w:val="20"/>
              </w:rPr>
            </w:pP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9FEE">
            <w:pPr>
              <w:widowControl/>
              <w:spacing w:line="200" w:lineRule="exact"/>
              <w:jc w:val="left"/>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309B532A">
            <w:pPr>
              <w:widowControl/>
              <w:spacing w:line="200" w:lineRule="exact"/>
              <w:jc w:val="left"/>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（40分）</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D73A">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数量 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6465F">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巡查次数</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50C1E">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不少于50次巡查</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2E8A0">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A1BB">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4193">
            <w:pPr>
              <w:widowControl/>
              <w:spacing w:line="20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B2AC">
            <w:pPr>
              <w:widowControl/>
              <w:spacing w:line="200" w:lineRule="exact"/>
              <w:jc w:val="center"/>
              <w:rPr>
                <w:rFonts w:ascii="仿宋_GB2312" w:hAnsi="仿宋_GB2312" w:eastAsia="仿宋_GB2312" w:cs="仿宋_GB2312"/>
                <w:color w:val="000000"/>
                <w:sz w:val="20"/>
                <w:szCs w:val="20"/>
              </w:rPr>
            </w:pPr>
          </w:p>
        </w:tc>
      </w:tr>
      <w:tr w14:paraId="4C590020">
        <w:tblPrEx>
          <w:tblCellMar>
            <w:top w:w="0" w:type="dxa"/>
            <w:left w:w="108" w:type="dxa"/>
            <w:bottom w:w="0" w:type="dxa"/>
            <w:right w:w="108" w:type="dxa"/>
          </w:tblCellMar>
        </w:tblPrEx>
        <w:trPr>
          <w:trHeight w:val="504"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B458D">
            <w:pPr>
              <w:widowControl/>
              <w:spacing w:line="200" w:lineRule="exact"/>
              <w:rPr>
                <w:rFonts w:ascii="仿宋_GB2312" w:hAnsi="仿宋_GB2312" w:eastAsia="仿宋_GB2312" w:cs="仿宋_GB2312"/>
                <w:color w:val="000000"/>
                <w:sz w:val="20"/>
                <w:szCs w:val="20"/>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6053">
            <w:pPr>
              <w:widowControl/>
              <w:spacing w:line="200" w:lineRule="exact"/>
              <w:rPr>
                <w:rFonts w:ascii="仿宋_GB2312" w:hAnsi="仿宋_GB2312" w:eastAsia="仿宋_GB2312" w:cs="仿宋_GB2312"/>
                <w:color w:val="000000"/>
                <w:sz w:val="20"/>
                <w:szCs w:val="20"/>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9CE5">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质量 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C19C7">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巡查覆盖率</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AD54B">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确保全市测评点巡查全覆盖</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5DF71">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761E">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EB8B">
            <w:pPr>
              <w:widowControl/>
              <w:spacing w:line="20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E7C8">
            <w:pPr>
              <w:widowControl/>
              <w:spacing w:line="200" w:lineRule="exact"/>
              <w:jc w:val="center"/>
              <w:rPr>
                <w:rFonts w:ascii="仿宋_GB2312" w:hAnsi="仿宋_GB2312" w:eastAsia="仿宋_GB2312" w:cs="仿宋_GB2312"/>
                <w:color w:val="000000"/>
                <w:sz w:val="20"/>
                <w:szCs w:val="20"/>
              </w:rPr>
            </w:pPr>
          </w:p>
        </w:tc>
      </w:tr>
      <w:tr w14:paraId="65F4FC03">
        <w:tblPrEx>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1668C">
            <w:pPr>
              <w:widowControl/>
              <w:spacing w:line="200" w:lineRule="exact"/>
              <w:rPr>
                <w:rFonts w:ascii="仿宋_GB2312" w:hAnsi="仿宋_GB2312" w:eastAsia="仿宋_GB2312" w:cs="仿宋_GB2312"/>
                <w:color w:val="000000"/>
                <w:sz w:val="20"/>
                <w:szCs w:val="20"/>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52B6">
            <w:pPr>
              <w:widowControl/>
              <w:spacing w:line="200" w:lineRule="exact"/>
              <w:rPr>
                <w:rFonts w:ascii="仿宋_GB2312" w:hAnsi="仿宋_GB2312" w:eastAsia="仿宋_GB2312" w:cs="仿宋_GB2312"/>
                <w:color w:val="000000"/>
                <w:sz w:val="20"/>
                <w:szCs w:val="20"/>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4E84">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时效 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44305">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执行年限</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03385">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巡查时长间隔不超过一周</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7B12A">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05A9">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FCB6">
            <w:pPr>
              <w:widowControl/>
              <w:spacing w:line="20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3393">
            <w:pPr>
              <w:widowControl/>
              <w:spacing w:line="200" w:lineRule="exact"/>
              <w:jc w:val="center"/>
              <w:rPr>
                <w:rFonts w:ascii="仿宋_GB2312" w:hAnsi="仿宋_GB2312" w:eastAsia="仿宋_GB2312" w:cs="仿宋_GB2312"/>
                <w:color w:val="000000"/>
                <w:sz w:val="20"/>
                <w:szCs w:val="20"/>
              </w:rPr>
            </w:pPr>
          </w:p>
        </w:tc>
      </w:tr>
      <w:tr w14:paraId="38A71C85">
        <w:tblPrEx>
          <w:tblCellMar>
            <w:top w:w="0" w:type="dxa"/>
            <w:left w:w="108" w:type="dxa"/>
            <w:bottom w:w="0" w:type="dxa"/>
            <w:right w:w="108" w:type="dxa"/>
          </w:tblCellMar>
        </w:tblPrEx>
        <w:trPr>
          <w:trHeight w:val="52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AEDAB">
            <w:pPr>
              <w:widowControl/>
              <w:spacing w:line="200" w:lineRule="exact"/>
              <w:rPr>
                <w:rFonts w:ascii="仿宋_GB2312" w:hAnsi="仿宋_GB2312" w:eastAsia="仿宋_GB2312" w:cs="仿宋_GB2312"/>
                <w:color w:val="000000"/>
                <w:sz w:val="20"/>
                <w:szCs w:val="20"/>
              </w:rPr>
            </w:pP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5DAC">
            <w:pPr>
              <w:widowControl/>
              <w:spacing w:line="2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效益指标（20分）</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4144">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经济效益指标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3768A">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保障单位正常运行</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27313">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考察单位是否有效保障正常运转</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FB57D">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144E">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3940">
            <w:pPr>
              <w:widowControl/>
              <w:spacing w:line="20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0D86">
            <w:pPr>
              <w:widowControl/>
              <w:spacing w:line="200" w:lineRule="exact"/>
              <w:jc w:val="center"/>
              <w:rPr>
                <w:rFonts w:ascii="仿宋_GB2312" w:hAnsi="仿宋_GB2312" w:eastAsia="仿宋_GB2312" w:cs="仿宋_GB2312"/>
                <w:color w:val="000000"/>
                <w:sz w:val="20"/>
                <w:szCs w:val="20"/>
              </w:rPr>
            </w:pPr>
          </w:p>
        </w:tc>
      </w:tr>
      <w:tr w14:paraId="35F3ADB2">
        <w:tblPrEx>
          <w:tblCellMar>
            <w:top w:w="0" w:type="dxa"/>
            <w:left w:w="108" w:type="dxa"/>
            <w:bottom w:w="0" w:type="dxa"/>
            <w:right w:w="108" w:type="dxa"/>
          </w:tblCellMar>
        </w:tblPrEx>
        <w:trPr>
          <w:trHeight w:val="544"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B42B6">
            <w:pPr>
              <w:widowControl/>
              <w:spacing w:line="200" w:lineRule="exact"/>
              <w:rPr>
                <w:rFonts w:ascii="仿宋_GB2312" w:hAnsi="仿宋_GB2312" w:eastAsia="仿宋_GB2312" w:cs="仿宋_GB2312"/>
                <w:color w:val="000000"/>
                <w:sz w:val="20"/>
                <w:szCs w:val="20"/>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829A">
            <w:pPr>
              <w:widowControl/>
              <w:spacing w:line="200" w:lineRule="exact"/>
              <w:rPr>
                <w:rFonts w:ascii="仿宋_GB2312" w:hAnsi="仿宋_GB2312" w:eastAsia="仿宋_GB2312" w:cs="仿宋_GB2312"/>
                <w:color w:val="000000"/>
                <w:sz w:val="20"/>
                <w:szCs w:val="20"/>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6710">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社会效益指标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84537">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推动创文创卫工作</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29F4D">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有效推动创文创卫工作正常进行</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0874B">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76A0">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B320">
            <w:pPr>
              <w:widowControl/>
              <w:spacing w:line="20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783D">
            <w:pPr>
              <w:widowControl/>
              <w:spacing w:line="200" w:lineRule="exact"/>
              <w:jc w:val="center"/>
              <w:rPr>
                <w:rFonts w:ascii="仿宋_GB2312" w:hAnsi="仿宋_GB2312" w:eastAsia="仿宋_GB2312" w:cs="仿宋_GB2312"/>
                <w:color w:val="000000"/>
                <w:sz w:val="20"/>
                <w:szCs w:val="20"/>
              </w:rPr>
            </w:pPr>
          </w:p>
        </w:tc>
      </w:tr>
      <w:tr w14:paraId="7BC9B8B4">
        <w:tblPrEx>
          <w:tblCellMar>
            <w:top w:w="0" w:type="dxa"/>
            <w:left w:w="108" w:type="dxa"/>
            <w:bottom w:w="0" w:type="dxa"/>
            <w:right w:w="108" w:type="dxa"/>
          </w:tblCellMar>
        </w:tblPrEx>
        <w:trPr>
          <w:trHeight w:val="5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9F788">
            <w:pPr>
              <w:widowControl/>
              <w:spacing w:line="200" w:lineRule="exact"/>
              <w:rPr>
                <w:rFonts w:ascii="仿宋_GB2312" w:hAnsi="仿宋_GB2312" w:eastAsia="仿宋_GB2312" w:cs="仿宋_GB2312"/>
                <w:color w:val="000000"/>
                <w:sz w:val="20"/>
                <w:szCs w:val="20"/>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831E">
            <w:pPr>
              <w:widowControl/>
              <w:spacing w:line="200" w:lineRule="exact"/>
              <w:rPr>
                <w:rFonts w:ascii="仿宋_GB2312" w:hAnsi="仿宋_GB2312" w:eastAsia="仿宋_GB2312" w:cs="仿宋_GB2312"/>
                <w:color w:val="000000"/>
                <w:sz w:val="20"/>
                <w:szCs w:val="20"/>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5F6D">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生态效益指标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8DCE9">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B7247">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EB26F">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B5AA">
            <w:pPr>
              <w:widowControl/>
              <w:spacing w:line="200" w:lineRule="exact"/>
              <w:jc w:val="center"/>
              <w:rPr>
                <w:rFonts w:ascii="仿宋_GB2312" w:hAnsi="仿宋_GB2312" w:eastAsia="仿宋_GB2312" w:cs="仿宋_GB2312"/>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EA2A">
            <w:pPr>
              <w:widowControl/>
              <w:spacing w:line="200" w:lineRule="exact"/>
              <w:rPr>
                <w:rFonts w:ascii="仿宋_GB2312" w:hAnsi="仿宋_GB2312" w:eastAsia="仿宋_GB2312" w:cs="仿宋_GB2312"/>
                <w:color w:val="000000"/>
                <w:sz w:val="20"/>
                <w:szCs w:val="20"/>
              </w:rPr>
            </w:pP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2E7F">
            <w:pPr>
              <w:widowControl/>
              <w:spacing w:line="200" w:lineRule="exact"/>
              <w:jc w:val="center"/>
              <w:rPr>
                <w:rFonts w:ascii="仿宋_GB2312" w:hAnsi="仿宋_GB2312" w:eastAsia="仿宋_GB2312" w:cs="仿宋_GB2312"/>
                <w:color w:val="000000"/>
                <w:sz w:val="20"/>
                <w:szCs w:val="20"/>
              </w:rPr>
            </w:pPr>
          </w:p>
        </w:tc>
      </w:tr>
      <w:tr w14:paraId="3BC943F6">
        <w:tblPrEx>
          <w:tblCellMar>
            <w:top w:w="0" w:type="dxa"/>
            <w:left w:w="108" w:type="dxa"/>
            <w:bottom w:w="0" w:type="dxa"/>
            <w:right w:w="108" w:type="dxa"/>
          </w:tblCellMar>
        </w:tblPrEx>
        <w:trPr>
          <w:trHeight w:val="594"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84C8C">
            <w:pPr>
              <w:widowControl/>
              <w:spacing w:line="200" w:lineRule="exact"/>
              <w:rPr>
                <w:rFonts w:ascii="仿宋_GB2312" w:hAnsi="仿宋_GB2312" w:eastAsia="仿宋_GB2312" w:cs="仿宋_GB2312"/>
                <w:color w:val="000000"/>
                <w:sz w:val="20"/>
                <w:szCs w:val="20"/>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3E1F">
            <w:pPr>
              <w:widowControl/>
              <w:spacing w:line="200" w:lineRule="exact"/>
              <w:rPr>
                <w:rFonts w:ascii="仿宋_GB2312" w:hAnsi="仿宋_GB2312" w:eastAsia="仿宋_GB2312" w:cs="仿宋_GB2312"/>
                <w:color w:val="000000"/>
                <w:sz w:val="20"/>
                <w:szCs w:val="20"/>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2082">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可持续影响指标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6604F">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管理机制健全性</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14C4B">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长效管理机制健全</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0FF8F">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CD9C">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15DD">
            <w:pPr>
              <w:widowControl/>
              <w:spacing w:line="20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6BE6">
            <w:pPr>
              <w:widowControl/>
              <w:spacing w:line="200" w:lineRule="exact"/>
              <w:jc w:val="center"/>
              <w:rPr>
                <w:rFonts w:ascii="仿宋_GB2312" w:hAnsi="仿宋_GB2312" w:eastAsia="仿宋_GB2312" w:cs="仿宋_GB2312"/>
                <w:color w:val="000000"/>
                <w:sz w:val="20"/>
                <w:szCs w:val="20"/>
              </w:rPr>
            </w:pPr>
          </w:p>
        </w:tc>
      </w:tr>
      <w:tr w14:paraId="4831DAC2">
        <w:tblPrEx>
          <w:tblCellMar>
            <w:top w:w="0" w:type="dxa"/>
            <w:left w:w="108" w:type="dxa"/>
            <w:bottom w:w="0" w:type="dxa"/>
            <w:right w:w="108" w:type="dxa"/>
          </w:tblCellMar>
        </w:tblPrEx>
        <w:trPr>
          <w:trHeight w:val="64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3D60C">
            <w:pPr>
              <w:widowControl/>
              <w:spacing w:line="200" w:lineRule="exact"/>
              <w:rPr>
                <w:rFonts w:ascii="仿宋_GB2312" w:hAnsi="仿宋_GB2312" w:eastAsia="仿宋_GB2312" w:cs="仿宋_GB2312"/>
                <w:color w:val="00000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0442">
            <w:pPr>
              <w:widowControl/>
              <w:spacing w:line="2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pacing w:val="-20"/>
                <w:kern w:val="0"/>
                <w:sz w:val="20"/>
                <w:szCs w:val="20"/>
              </w:rPr>
              <w:t>满意度指标（10分）</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3F61">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服务对象满意度指标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0EF2B">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社会满意度</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1B7E9">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力争满意度达到90%以上</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3880F">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68D2">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A5BB">
            <w:pPr>
              <w:widowControl/>
              <w:spacing w:line="20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42F3">
            <w:pPr>
              <w:widowControl/>
              <w:spacing w:line="200" w:lineRule="exact"/>
              <w:jc w:val="center"/>
              <w:rPr>
                <w:rFonts w:ascii="仿宋_GB2312" w:hAnsi="仿宋_GB2312" w:eastAsia="仿宋_GB2312" w:cs="仿宋_GB2312"/>
                <w:color w:val="000000"/>
                <w:sz w:val="20"/>
                <w:szCs w:val="20"/>
              </w:rPr>
            </w:pPr>
          </w:p>
        </w:tc>
      </w:tr>
    </w:tbl>
    <w:p w14:paraId="12191B8F"/>
    <w:p w14:paraId="5F57A7E4">
      <w:pPr>
        <w:rPr>
          <w:rFonts w:eastAsiaTheme="minorEastAsia"/>
        </w:rPr>
      </w:pPr>
    </w:p>
    <w:sectPr>
      <w:footerReference r:id="rId3" w:type="default"/>
      <w:footerReference r:id="rId4" w:type="even"/>
      <w:pgSz w:w="11906" w:h="16838"/>
      <w:pgMar w:top="1440" w:right="1797" w:bottom="1440" w:left="1797" w:header="851" w:footer="992" w:gutter="0"/>
      <w:pgNumType w:fmt="numberInDash"/>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宋体">
    <w:altName w:val="宋体"/>
    <w:panose1 w:val="00000000000000000000"/>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CF51F">
    <w:pPr>
      <w:pStyle w:val="2"/>
      <w:framePr w:wrap="around" w:vAnchor="text" w:hAnchor="margin" w:xAlign="outside" w:y="1"/>
      <w:rPr>
        <w:rStyle w:val="7"/>
        <w:rFonts w:ascii="Times New Roman" w:hAnsi="Times New Roman"/>
        <w:sz w:val="28"/>
        <w:szCs w:val="28"/>
      </w:rPr>
    </w:pPr>
    <w:r>
      <w:rPr>
        <w:rStyle w:val="7"/>
        <w:rFonts w:ascii="Times New Roman" w:hAnsi="Times New Roman"/>
        <w:sz w:val="28"/>
        <w:szCs w:val="28"/>
      </w:rPr>
      <w:fldChar w:fldCharType="begin"/>
    </w:r>
    <w:r>
      <w:rPr>
        <w:rStyle w:val="7"/>
        <w:rFonts w:ascii="Times New Roman" w:hAnsi="Times New Roman"/>
        <w:sz w:val="28"/>
        <w:szCs w:val="28"/>
      </w:rPr>
      <w:instrText xml:space="preserve">PAGE  </w:instrText>
    </w:r>
    <w:r>
      <w:rPr>
        <w:rStyle w:val="7"/>
        <w:rFonts w:ascii="Times New Roman" w:hAnsi="Times New Roman"/>
        <w:sz w:val="28"/>
        <w:szCs w:val="28"/>
      </w:rPr>
      <w:fldChar w:fldCharType="separate"/>
    </w:r>
    <w:r>
      <w:rPr>
        <w:rStyle w:val="7"/>
        <w:rFonts w:ascii="Times New Roman" w:hAnsi="Times New Roman"/>
        <w:sz w:val="28"/>
        <w:szCs w:val="28"/>
      </w:rPr>
      <w:t>- 9 -</w:t>
    </w:r>
    <w:r>
      <w:rPr>
        <w:rStyle w:val="7"/>
        <w:rFonts w:ascii="Times New Roman" w:hAnsi="Times New Roman"/>
        <w:sz w:val="28"/>
        <w:szCs w:val="28"/>
      </w:rPr>
      <w:fldChar w:fldCharType="end"/>
    </w:r>
  </w:p>
  <w:p w14:paraId="00E99D9B">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AA964">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3476A9D8">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3281C"/>
    <w:multiLevelType w:val="singleLevel"/>
    <w:tmpl w:val="8B03281C"/>
    <w:lvl w:ilvl="0" w:tentative="0">
      <w:start w:val="1"/>
      <w:numFmt w:val="chineseCounting"/>
      <w:suff w:val="nothing"/>
      <w:lvlText w:val="（%1）"/>
      <w:lvlJc w:val="left"/>
      <w:rPr>
        <w:rFonts w:hint="eastAsia"/>
      </w:rPr>
    </w:lvl>
  </w:abstractNum>
  <w:abstractNum w:abstractNumId="1">
    <w:nsid w:val="972FEA5A"/>
    <w:multiLevelType w:val="singleLevel"/>
    <w:tmpl w:val="972FEA5A"/>
    <w:lvl w:ilvl="0" w:tentative="0">
      <w:start w:val="1"/>
      <w:numFmt w:val="chineseCounting"/>
      <w:suff w:val="nothing"/>
      <w:lvlText w:val="(%1）"/>
      <w:lvlJc w:val="left"/>
      <w:rPr>
        <w:rFonts w:hint="eastAsia"/>
      </w:rPr>
    </w:lvl>
  </w:abstractNum>
  <w:abstractNum w:abstractNumId="2">
    <w:nsid w:val="28F1B538"/>
    <w:multiLevelType w:val="singleLevel"/>
    <w:tmpl w:val="28F1B538"/>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FjMjQwYmFkNDFmNzhhMTRmNjJmZmYwNWRiNWRhZDUifQ=="/>
  </w:docVars>
  <w:rsids>
    <w:rsidRoot w:val="36394EFE"/>
    <w:rsid w:val="00026591"/>
    <w:rsid w:val="000A2175"/>
    <w:rsid w:val="000C6C42"/>
    <w:rsid w:val="000E7AAD"/>
    <w:rsid w:val="000F75D3"/>
    <w:rsid w:val="00127771"/>
    <w:rsid w:val="001A700F"/>
    <w:rsid w:val="001C46D3"/>
    <w:rsid w:val="002305AA"/>
    <w:rsid w:val="00232F3A"/>
    <w:rsid w:val="0029799F"/>
    <w:rsid w:val="002E0E69"/>
    <w:rsid w:val="00370B41"/>
    <w:rsid w:val="0039479B"/>
    <w:rsid w:val="00491758"/>
    <w:rsid w:val="00496325"/>
    <w:rsid w:val="004B0659"/>
    <w:rsid w:val="00543959"/>
    <w:rsid w:val="005F0D54"/>
    <w:rsid w:val="00603DD1"/>
    <w:rsid w:val="0064415F"/>
    <w:rsid w:val="00707F50"/>
    <w:rsid w:val="0076448B"/>
    <w:rsid w:val="00775053"/>
    <w:rsid w:val="007D29FC"/>
    <w:rsid w:val="007E0A98"/>
    <w:rsid w:val="00803323"/>
    <w:rsid w:val="00816D17"/>
    <w:rsid w:val="00821C3A"/>
    <w:rsid w:val="00825387"/>
    <w:rsid w:val="00937367"/>
    <w:rsid w:val="00942EB4"/>
    <w:rsid w:val="009A5466"/>
    <w:rsid w:val="009B29B7"/>
    <w:rsid w:val="009F731F"/>
    <w:rsid w:val="00A101F8"/>
    <w:rsid w:val="00A27351"/>
    <w:rsid w:val="00AD36D0"/>
    <w:rsid w:val="00B47266"/>
    <w:rsid w:val="00B93482"/>
    <w:rsid w:val="00C23C3A"/>
    <w:rsid w:val="00DF19C6"/>
    <w:rsid w:val="00E26371"/>
    <w:rsid w:val="00EA0B73"/>
    <w:rsid w:val="00F16D74"/>
    <w:rsid w:val="00FE0AB1"/>
    <w:rsid w:val="020A6ADE"/>
    <w:rsid w:val="089D525D"/>
    <w:rsid w:val="0A1246B0"/>
    <w:rsid w:val="0EFB3964"/>
    <w:rsid w:val="1C7D3680"/>
    <w:rsid w:val="22F6244A"/>
    <w:rsid w:val="24BC31D3"/>
    <w:rsid w:val="255B3FE7"/>
    <w:rsid w:val="26B93D45"/>
    <w:rsid w:val="27E9484A"/>
    <w:rsid w:val="2F253AEB"/>
    <w:rsid w:val="327F0285"/>
    <w:rsid w:val="344D55AB"/>
    <w:rsid w:val="348930EF"/>
    <w:rsid w:val="36394EFE"/>
    <w:rsid w:val="378400EB"/>
    <w:rsid w:val="3C9C7C85"/>
    <w:rsid w:val="3D1E407D"/>
    <w:rsid w:val="41CC1B25"/>
    <w:rsid w:val="42EE511F"/>
    <w:rsid w:val="439338D8"/>
    <w:rsid w:val="46825474"/>
    <w:rsid w:val="47581AF6"/>
    <w:rsid w:val="48A4239B"/>
    <w:rsid w:val="4A531313"/>
    <w:rsid w:val="4B024A90"/>
    <w:rsid w:val="4BFE7A8B"/>
    <w:rsid w:val="4EC17D64"/>
    <w:rsid w:val="537A1584"/>
    <w:rsid w:val="54A21F3F"/>
    <w:rsid w:val="55874DFF"/>
    <w:rsid w:val="594E14F8"/>
    <w:rsid w:val="5A2F12C4"/>
    <w:rsid w:val="5E12502C"/>
    <w:rsid w:val="5F0E6369"/>
    <w:rsid w:val="62096FD1"/>
    <w:rsid w:val="6401649C"/>
    <w:rsid w:val="66611474"/>
    <w:rsid w:val="67D17BFB"/>
    <w:rsid w:val="688B27D8"/>
    <w:rsid w:val="698963C0"/>
    <w:rsid w:val="6B0F76F1"/>
    <w:rsid w:val="6D585139"/>
    <w:rsid w:val="6F7E4E45"/>
    <w:rsid w:val="70AD56EE"/>
    <w:rsid w:val="76A04200"/>
    <w:rsid w:val="76CC0B8C"/>
    <w:rsid w:val="7B420F6E"/>
    <w:rsid w:val="7F242CCD"/>
    <w:rsid w:val="7F700A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page number"/>
    <w:basedOn w:val="6"/>
    <w:qFormat/>
    <w:uiPriority w:val="99"/>
    <w:rPr>
      <w:rFonts w:cs="Times New Roman"/>
    </w:rPr>
  </w:style>
  <w:style w:type="character" w:styleId="8">
    <w:name w:val="Emphasis"/>
    <w:basedOn w:val="6"/>
    <w:qFormat/>
    <w:uiPriority w:val="0"/>
    <w:rPr>
      <w:i/>
    </w:rPr>
  </w:style>
  <w:style w:type="paragraph" w:styleId="9">
    <w:name w:val="List Paragraph"/>
    <w:basedOn w:val="1"/>
    <w:qFormat/>
    <w:uiPriority w:val="34"/>
    <w:pPr>
      <w:ind w:firstLine="420" w:firstLineChars="200"/>
    </w:pPr>
    <w:rPr>
      <w:rFonts w:ascii="Times New Roman" w:hAnsi="Times New Roman"/>
      <w:szCs w:val="24"/>
    </w:rPr>
  </w:style>
  <w:style w:type="paragraph" w:customStyle="1" w:styleId="10">
    <w:name w:val="reader-word-layer reader-word-s4-5"/>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3022</Words>
  <Characters>3219</Characters>
  <Lines>25</Lines>
  <Paragraphs>7</Paragraphs>
  <TotalTime>11</TotalTime>
  <ScaleCrop>false</ScaleCrop>
  <LinksUpToDate>false</LinksUpToDate>
  <CharactersWithSpaces>3246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2022-03-28T07:36:00Z</dcterms:created>
  <dc:creator>qzuser</dc:creator>
  <cp:lastModifiedBy>邓婷</cp:lastModifiedBy>
  <cp:lastPrinted>2022-03-29T02:43:00Z</cp:lastPrinted>
  <dcterms:modified xsi:type="dcterms:W3CDTF">2025-09-30T02:11:59Z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311148010_btnclosed</vt:lpwstr>
  </property>
  <property fmtid="{D5CDD505-2E9C-101B-9397-08002B2CF9AE}" pid="4" name="ICV">
    <vt:lpwstr>69CBF35979AF4DB5BC3525A31F612C03</vt:lpwstr>
  </property>
  <property fmtid="{D5CDD505-2E9C-101B-9397-08002B2CF9AE}" pid="5" name="KSOTemplateDocerSaveRecord">
    <vt:lpwstr>eyJoZGlkIjoiN2Y2YTkzM2Q3ZjFmZDA3MzYxZmZlNThiZjdiNmYxNGYiLCJ1c2VySWQiOiIxMDY5MjgzMDcxIn0=</vt:lpwstr>
  </property>
</Properties>
</file>