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74FBC">
      <w:pPr>
        <w:keepNext w:val="0"/>
        <w:keepLines w:val="0"/>
        <w:pageBreakBefore w:val="0"/>
        <w:widowControl/>
        <w:kinsoku/>
        <w:wordWrap/>
        <w:overflowPunct/>
        <w:topLinePunct w:val="0"/>
        <w:autoSpaceDE/>
        <w:autoSpaceDN/>
        <w:bidi w:val="0"/>
        <w:spacing w:after="240" w:line="570" w:lineRule="exact"/>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附件1</w:t>
      </w:r>
    </w:p>
    <w:p w14:paraId="03C870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简体" w:cs="Times New Roman"/>
          <w:sz w:val="44"/>
          <w:szCs w:val="44"/>
        </w:rPr>
      </w:pPr>
    </w:p>
    <w:p w14:paraId="4F402C50">
      <w:pPr>
        <w:keepNext w:val="0"/>
        <w:keepLines w:val="0"/>
        <w:pageBreakBefore w:val="0"/>
        <w:widowControl/>
        <w:kinsoku/>
        <w:wordWrap/>
        <w:overflowPunct/>
        <w:topLinePunct w:val="0"/>
        <w:autoSpaceDE/>
        <w:autoSpaceDN/>
        <w:bidi w:val="0"/>
        <w:spacing w:line="57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全国农作物病虫害区域性绿色防控技术</w:t>
      </w:r>
    </w:p>
    <w:p w14:paraId="20C6B991">
      <w:pPr>
        <w:keepNext w:val="0"/>
        <w:keepLines w:val="0"/>
        <w:pageBreakBefore w:val="0"/>
        <w:widowControl/>
        <w:kinsoku/>
        <w:wordWrap/>
        <w:overflowPunct/>
        <w:topLinePunct w:val="0"/>
        <w:autoSpaceDE/>
        <w:autoSpaceDN/>
        <w:bidi w:val="0"/>
        <w:spacing w:line="57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模式筛选工作方案</w:t>
      </w:r>
    </w:p>
    <w:p w14:paraId="1D2EBA9D">
      <w:pPr>
        <w:keepNext w:val="0"/>
        <w:keepLines w:val="0"/>
        <w:pageBreakBefore w:val="0"/>
        <w:kinsoku/>
        <w:wordWrap/>
        <w:overflowPunct/>
        <w:topLinePunct w:val="0"/>
        <w:autoSpaceDE/>
        <w:autoSpaceDN/>
        <w:bidi w:val="0"/>
        <w:spacing w:line="570" w:lineRule="exact"/>
        <w:ind w:firstLine="630"/>
        <w:textAlignment w:val="auto"/>
        <w:rPr>
          <w:rFonts w:hint="default" w:ascii="Times New Roman" w:hAnsi="Times New Roman" w:eastAsia="仿宋_GB2312" w:cs="Times New Roman"/>
          <w:sz w:val="32"/>
          <w:szCs w:val="32"/>
        </w:rPr>
      </w:pPr>
    </w:p>
    <w:p w14:paraId="3727FF69">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根据农业农村部办公厅关于印发《2025年“虫口夺粮”保丰收行动方案》的通知（农办农</w:t>
      </w:r>
      <w:r>
        <w:rPr>
          <w:rFonts w:hint="default" w:ascii="Times New Roman" w:hAnsi="Times New Roman" w:eastAsia="仿宋_GB2312" w:cs="Times New Roman"/>
          <w:sz w:val="32"/>
          <w:szCs w:val="20"/>
        </w:rPr>
        <w:t>〔20</w:t>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32"/>
        </w:rPr>
        <w:t>4号）有关要求，加速集成推广一批经济实用、简便有效、农民乐意接受的绿色防控、农药减量增效技术模式，不断提高绿色防控覆盖率，推进绿色防控与统防统治融合发展。今年，我中心将继续组织筛选一批适用于专业化防治服务组织开展统防统治作业的</w:t>
      </w:r>
      <w:r>
        <w:rPr>
          <w:rFonts w:hint="default" w:ascii="Times New Roman" w:hAnsi="Times New Roman" w:cs="Times New Roman"/>
          <w:sz w:val="32"/>
        </w:rPr>
        <w:t>经济</w:t>
      </w:r>
      <w:r>
        <w:rPr>
          <w:rFonts w:hint="default" w:ascii="Times New Roman" w:hAnsi="Times New Roman" w:eastAsia="仿宋_GB2312" w:cs="Times New Roman"/>
          <w:sz w:val="32"/>
          <w:szCs w:val="32"/>
        </w:rPr>
        <w:t>实用、简便有效、农民乐于接受</w:t>
      </w:r>
      <w:r>
        <w:rPr>
          <w:rFonts w:hint="default" w:ascii="Times New Roman" w:hAnsi="Times New Roman" w:cs="Times New Roman"/>
          <w:sz w:val="32"/>
        </w:rPr>
        <w:t>的</w:t>
      </w:r>
      <w:r>
        <w:rPr>
          <w:rFonts w:hint="default" w:ascii="Times New Roman" w:hAnsi="Times New Roman" w:eastAsia="仿宋_GB2312" w:cs="Times New Roman"/>
          <w:sz w:val="32"/>
          <w:szCs w:val="32"/>
        </w:rPr>
        <w:t>区域性绿色防控技术模式。具体工作方案如下。</w:t>
      </w:r>
    </w:p>
    <w:p w14:paraId="1413297B">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一、主要技术模式类型</w:t>
      </w:r>
    </w:p>
    <w:p w14:paraId="7DD03F83">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（一）以作物全生育期病虫害综合防控为主线，构建全程绿色防控的区域性技术模式；</w:t>
      </w:r>
    </w:p>
    <w:p w14:paraId="037E1C9A">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（二）以主要粮油作物为主线，集成作物全生育期大面积防病虫提单产绿色防控技术模式；</w:t>
      </w:r>
    </w:p>
    <w:p w14:paraId="7A54A890">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以小麦条锈病、赤霉病，水稻螟虫、稻瘟病，草地贪夜蛾、玉米螟、玉米南方锈病，番茄潜叶蛾、马铃薯晚疫病、豇豆蓟马、大豆根腐病、油菜菌核病等重大病虫为核心，构建与其他病虫种类相衔接的区域性绿色防控技术模式；</w:t>
      </w:r>
    </w:p>
    <w:p w14:paraId="1E445672">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（四）以生物农药、昆虫信息素、天敌昆虫等绿色防控产品应用和农业防治、生态调控技术应用为主线，构建针对重大病虫害的区域性绿色防控技术模式。</w:t>
      </w:r>
    </w:p>
    <w:p w14:paraId="13F4C902">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二、具体要求</w:t>
      </w:r>
    </w:p>
    <w:p w14:paraId="19A2903D">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（一）推荐的绿色防控技术模式应</w:t>
      </w:r>
      <w:r>
        <w:rPr>
          <w:rFonts w:hint="default" w:ascii="Times New Roman" w:hAnsi="Times New Roman" w:eastAsia="仿宋_GB2312" w:cs="Times New Roman"/>
          <w:kern w:val="0"/>
          <w:sz w:val="32"/>
          <w:szCs w:val="32"/>
        </w:rPr>
        <w:t>综合配套，经济实用、简便高效，并已经专业化防治服务组织</w:t>
      </w:r>
      <w:r>
        <w:rPr>
          <w:rFonts w:hint="default" w:ascii="Times New Roman" w:hAnsi="Times New Roman" w:eastAsia="仿宋_GB2312" w:cs="Times New Roman"/>
          <w:sz w:val="32"/>
          <w:szCs w:val="32"/>
        </w:rPr>
        <w:t>在一定区域统防统治作业应用，取得良好效果。</w:t>
      </w:r>
    </w:p>
    <w:p w14:paraId="3577CE1A">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（二）明确针对的主要病虫种类、主要技术措施、操作规程、防治效果，以及提质增效作用。</w:t>
      </w:r>
    </w:p>
    <w:p w14:paraId="384D40C7">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（三）明确绿色防控技术模式的区域适应性、先进性、经济性，以及与常规防控措施相比的效益情况。</w:t>
      </w:r>
    </w:p>
    <w:p w14:paraId="5C6404DB">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三、工作进度</w:t>
      </w:r>
    </w:p>
    <w:p w14:paraId="17DFE5AB">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（一）2025年3月，制定工作方案，组织开展申报工作。</w:t>
      </w:r>
    </w:p>
    <w:p w14:paraId="55D7C440">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（二）2025年10月，省级植保机构组织对收集的区域性绿色防控技术模式进行筛选并报送我中心。</w:t>
      </w:r>
    </w:p>
    <w:p w14:paraId="4111070E">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（三）2025年11月，全国农技中心组织筛选并公布结果。</w:t>
      </w:r>
    </w:p>
    <w:p w14:paraId="4E85828E">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四、申报要求</w:t>
      </w:r>
    </w:p>
    <w:p w14:paraId="538952B9">
      <w:pPr>
        <w:keepNext w:val="0"/>
        <w:keepLines w:val="0"/>
        <w:pageBreakBefore w:val="0"/>
        <w:kinsoku/>
        <w:wordWrap/>
        <w:overflowPunct/>
        <w:topLinePunct w:val="0"/>
        <w:autoSpaceDE/>
        <w:autoSpaceDN/>
        <w:bidi w:val="0"/>
        <w:spacing w:line="57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（一）撰稿要求</w:t>
      </w:r>
    </w:p>
    <w:p w14:paraId="523AC3DE">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1．每项技术模式字数控制在2500字左右，具体格式说明见附件1—A；</w:t>
      </w:r>
    </w:p>
    <w:p w14:paraId="754DA191">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2．每项技术模式应附3—5张有助于理解技术的图片。</w:t>
      </w:r>
    </w:p>
    <w:p w14:paraId="5E05EA1E">
      <w:pPr>
        <w:keepNext w:val="0"/>
        <w:keepLines w:val="0"/>
        <w:pageBreakBefore w:val="0"/>
        <w:kinsoku/>
        <w:wordWrap/>
        <w:overflowPunct/>
        <w:topLinePunct w:val="0"/>
        <w:autoSpaceDE/>
        <w:autoSpaceDN/>
        <w:bidi w:val="0"/>
        <w:spacing w:line="57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（二）报送方式</w:t>
      </w:r>
    </w:p>
    <w:p w14:paraId="16C9A30C">
      <w:pPr>
        <w:keepNext w:val="0"/>
        <w:keepLines w:val="0"/>
        <w:pageBreakBefore w:val="0"/>
        <w:widowControl/>
        <w:kinsoku/>
        <w:wordWrap/>
        <w:overflowPunct/>
        <w:topLinePunct w:val="0"/>
        <w:autoSpaceDE/>
        <w:autoSpaceDN/>
        <w:bidi w:val="0"/>
        <w:spacing w:line="57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以省份为单位，将防控技术模式以及汇总表的电子版（不用寄纸质材料）发送至njzxfzc@126.com。</w:t>
      </w:r>
    </w:p>
    <w:p w14:paraId="150CC311">
      <w:pPr>
        <w:widowControl/>
        <w:spacing w:line="60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r>
        <w:rPr>
          <w:rFonts w:hint="default" w:ascii="Times New Roman" w:hAnsi="Times New Roman" w:eastAsia="仿宋_GB2312" w:cs="Times New Roman"/>
          <w:sz w:val="32"/>
          <w:szCs w:val="32"/>
        </w:rPr>
        <w:t>—</w:t>
      </w:r>
      <w:r>
        <w:rPr>
          <w:rFonts w:hint="default" w:ascii="Times New Roman" w:hAnsi="Times New Roman" w:eastAsia="黑体" w:cs="Times New Roman"/>
          <w:sz w:val="32"/>
          <w:szCs w:val="32"/>
        </w:rPr>
        <w:t>A</w:t>
      </w:r>
    </w:p>
    <w:p w14:paraId="6B67D24F">
      <w:pPr>
        <w:spacing w:line="400" w:lineRule="exact"/>
        <w:rPr>
          <w:rFonts w:hint="default" w:ascii="Times New Roman" w:hAnsi="Times New Roman" w:eastAsia="黑体" w:cs="Times New Roman"/>
          <w:szCs w:val="32"/>
        </w:rPr>
      </w:pPr>
    </w:p>
    <w:p w14:paraId="1EA93F36">
      <w:pPr>
        <w:spacing w:line="600" w:lineRule="exact"/>
        <w:ind w:firstLine="180" w:firstLineChars="5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农作物病虫害区域性绿色防控技术模式撰稿格式</w:t>
      </w:r>
    </w:p>
    <w:p w14:paraId="15A0CAEA">
      <w:pPr>
        <w:spacing w:line="400" w:lineRule="exact"/>
        <w:ind w:firstLine="160" w:firstLineChars="50"/>
        <w:rPr>
          <w:rFonts w:hint="default" w:ascii="Times New Roman" w:hAnsi="Times New Roman" w:cs="Times New Roman"/>
          <w:sz w:val="32"/>
          <w:szCs w:val="32"/>
        </w:rPr>
      </w:pPr>
    </w:p>
    <w:p w14:paraId="67331502">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技术模式名称（二号黑体字）</w:t>
      </w:r>
    </w:p>
    <w:p w14:paraId="128D1979">
      <w:pPr>
        <w:spacing w:line="580" w:lineRule="exact"/>
        <w:ind w:firstLine="707" w:firstLineChars="221"/>
        <w:rPr>
          <w:rFonts w:hint="default" w:ascii="Times New Roman" w:hAnsi="Times New Roman" w:cs="Times New Roman"/>
          <w:sz w:val="32"/>
          <w:szCs w:val="32"/>
        </w:rPr>
      </w:pPr>
      <w:r>
        <w:rPr>
          <w:rFonts w:hint="default" w:ascii="Times New Roman" w:hAnsi="Times New Roman" w:cs="Times New Roman"/>
          <w:sz w:val="32"/>
          <w:szCs w:val="32"/>
        </w:rPr>
        <w:t>前言（四号宋体字）</w:t>
      </w:r>
    </w:p>
    <w:p w14:paraId="3D4ACE70">
      <w:pPr>
        <w:spacing w:line="580" w:lineRule="exact"/>
        <w:ind w:firstLine="707" w:firstLineChars="22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一、技术概述（</w:t>
      </w:r>
      <w:r>
        <w:rPr>
          <w:rFonts w:hint="default" w:ascii="Times New Roman" w:hAnsi="Times New Roman" w:cs="Times New Roman"/>
          <w:sz w:val="32"/>
          <w:szCs w:val="32"/>
        </w:rPr>
        <w:t>四号黑体字</w:t>
      </w:r>
      <w:r>
        <w:rPr>
          <w:rFonts w:hint="default" w:ascii="Times New Roman" w:hAnsi="Times New Roman" w:eastAsia="黑体" w:cs="Times New Roman"/>
          <w:sz w:val="32"/>
          <w:szCs w:val="32"/>
        </w:rPr>
        <w:t>）</w:t>
      </w:r>
    </w:p>
    <w:p w14:paraId="538D0BFF">
      <w:pPr>
        <w:spacing w:line="580" w:lineRule="exact"/>
        <w:ind w:firstLine="707" w:firstLineChars="22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（一）技术基本情况（四号楷体字）</w:t>
      </w:r>
    </w:p>
    <w:p w14:paraId="5EA61FB3">
      <w:pPr>
        <w:spacing w:line="580" w:lineRule="exact"/>
        <w:ind w:firstLine="707" w:firstLineChars="221"/>
        <w:rPr>
          <w:rFonts w:hint="default" w:ascii="Times New Roman" w:hAnsi="Times New Roman" w:cs="Times New Roman"/>
          <w:sz w:val="32"/>
          <w:szCs w:val="32"/>
        </w:rPr>
      </w:pPr>
      <w:r>
        <w:rPr>
          <w:rFonts w:hint="default" w:ascii="Times New Roman" w:hAnsi="Times New Roman" w:cs="Times New Roman"/>
          <w:sz w:val="32"/>
          <w:szCs w:val="32"/>
        </w:rPr>
        <w:t>正文（四号宋体字、行距1.5倍）</w:t>
      </w:r>
    </w:p>
    <w:p w14:paraId="0C3CB798">
      <w:pPr>
        <w:spacing w:line="580" w:lineRule="exact"/>
        <w:ind w:firstLine="707" w:firstLineChars="22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（二）技术示范推广情况</w:t>
      </w:r>
    </w:p>
    <w:p w14:paraId="0069351D">
      <w:pPr>
        <w:spacing w:line="580" w:lineRule="exact"/>
        <w:ind w:firstLine="707" w:firstLineChars="22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（三）提质增效情况</w:t>
      </w:r>
    </w:p>
    <w:p w14:paraId="39AE53C3">
      <w:pPr>
        <w:spacing w:line="580" w:lineRule="exact"/>
        <w:ind w:firstLine="707" w:firstLineChars="22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（四）技术先进性、经济性以及效益分析</w:t>
      </w:r>
    </w:p>
    <w:p w14:paraId="489FF02F">
      <w:pPr>
        <w:spacing w:line="580" w:lineRule="exact"/>
        <w:ind w:firstLine="707" w:firstLineChars="22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二、技术操作要点（</w:t>
      </w:r>
      <w:r>
        <w:rPr>
          <w:rFonts w:hint="default" w:ascii="Times New Roman" w:hAnsi="Times New Roman" w:cs="Times New Roman"/>
          <w:sz w:val="32"/>
          <w:szCs w:val="32"/>
        </w:rPr>
        <w:t>四号黑体字</w:t>
      </w:r>
      <w:r>
        <w:rPr>
          <w:rFonts w:hint="default" w:ascii="Times New Roman" w:hAnsi="Times New Roman" w:eastAsia="黑体" w:cs="Times New Roman"/>
          <w:sz w:val="32"/>
          <w:szCs w:val="32"/>
        </w:rPr>
        <w:t>）</w:t>
      </w:r>
    </w:p>
    <w:p w14:paraId="1FCCA7CD">
      <w:pPr>
        <w:spacing w:line="580" w:lineRule="exact"/>
        <w:ind w:firstLine="707" w:firstLineChars="22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三、区域性应用情况及适宜区域</w:t>
      </w:r>
    </w:p>
    <w:p w14:paraId="51CA9448">
      <w:pPr>
        <w:spacing w:line="580" w:lineRule="exact"/>
        <w:ind w:firstLine="707" w:firstLineChars="22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四、注意事项</w:t>
      </w:r>
    </w:p>
    <w:p w14:paraId="165BDF6E">
      <w:pPr>
        <w:spacing w:line="580" w:lineRule="exact"/>
        <w:ind w:firstLine="707" w:firstLineChars="22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五、技术依托单位</w:t>
      </w:r>
    </w:p>
    <w:p w14:paraId="4C3128DE">
      <w:pPr>
        <w:spacing w:line="580" w:lineRule="exact"/>
        <w:ind w:firstLine="707" w:firstLineChars="22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（一）单位名称</w:t>
      </w:r>
    </w:p>
    <w:p w14:paraId="1087D24C">
      <w:pPr>
        <w:spacing w:line="580" w:lineRule="exact"/>
        <w:ind w:firstLine="707" w:firstLineChars="221"/>
        <w:rPr>
          <w:rFonts w:hint="default" w:ascii="Times New Roman" w:hAnsi="Times New Roman" w:cs="Times New Roman"/>
          <w:sz w:val="32"/>
          <w:szCs w:val="32"/>
        </w:rPr>
      </w:pPr>
      <w:r>
        <w:rPr>
          <w:rFonts w:hint="default" w:ascii="Times New Roman" w:hAnsi="Times New Roman" w:cs="Times New Roman"/>
          <w:sz w:val="32"/>
          <w:szCs w:val="32"/>
        </w:rPr>
        <w:t>联系地址（邮编）：</w:t>
      </w:r>
    </w:p>
    <w:p w14:paraId="7A03B98D">
      <w:pPr>
        <w:spacing w:line="580" w:lineRule="exact"/>
        <w:ind w:firstLine="707" w:firstLineChars="221"/>
        <w:rPr>
          <w:rFonts w:hint="default" w:ascii="Times New Roman" w:hAnsi="Times New Roman" w:cs="Times New Roman"/>
          <w:sz w:val="32"/>
          <w:szCs w:val="32"/>
        </w:rPr>
      </w:pPr>
      <w:r>
        <w:rPr>
          <w:rFonts w:hint="default" w:ascii="Times New Roman" w:hAnsi="Times New Roman" w:cs="Times New Roman"/>
          <w:sz w:val="32"/>
          <w:szCs w:val="32"/>
        </w:rPr>
        <w:t>联系人：</w:t>
      </w:r>
    </w:p>
    <w:p w14:paraId="1C5375B0">
      <w:pPr>
        <w:spacing w:line="580" w:lineRule="exact"/>
        <w:ind w:firstLine="707" w:firstLineChars="221"/>
        <w:rPr>
          <w:rFonts w:hint="default" w:ascii="Times New Roman" w:hAnsi="Times New Roman" w:cs="Times New Roman"/>
          <w:sz w:val="32"/>
          <w:szCs w:val="32"/>
        </w:rPr>
      </w:pPr>
      <w:r>
        <w:rPr>
          <w:rFonts w:hint="default" w:ascii="Times New Roman" w:hAnsi="Times New Roman" w:cs="Times New Roman"/>
          <w:sz w:val="32"/>
          <w:szCs w:val="32"/>
        </w:rPr>
        <w:t>联系方式：电话或邮箱</w:t>
      </w:r>
    </w:p>
    <w:p w14:paraId="5A5D1E24">
      <w:pPr>
        <w:spacing w:line="580" w:lineRule="exact"/>
        <w:ind w:firstLine="707" w:firstLineChars="22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（二）单位名称</w:t>
      </w:r>
    </w:p>
    <w:p w14:paraId="444A041B">
      <w:pPr>
        <w:spacing w:line="600" w:lineRule="exact"/>
        <w:ind w:firstLine="1280" w:firstLineChars="4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p>
    <w:p w14:paraId="0F8432FE">
      <w:pPr>
        <w:spacing w:line="600" w:lineRule="exact"/>
        <w:ind w:firstLine="1280" w:firstLineChars="400"/>
        <w:rPr>
          <w:rFonts w:hint="default" w:ascii="Times New Roman" w:hAnsi="Times New Roman" w:eastAsia="楷体_GB2312" w:cs="Times New Roman"/>
          <w:sz w:val="32"/>
          <w:szCs w:val="32"/>
        </w:rPr>
      </w:pPr>
    </w:p>
    <w:p w14:paraId="17A1D4C2">
      <w:pPr>
        <w:widowControl/>
        <w:spacing w:line="600" w:lineRule="exact"/>
        <w:jc w:val="left"/>
        <w:rPr>
          <w:rFonts w:hint="default" w:ascii="Times New Roman" w:hAnsi="Times New Roman" w:eastAsia="黑体" w:cs="Times New Roman"/>
          <w:sz w:val="32"/>
          <w:szCs w:val="32"/>
        </w:rPr>
      </w:pPr>
      <w:r>
        <w:rPr>
          <w:rFonts w:hint="default" w:ascii="Times New Roman" w:hAnsi="Times New Roman" w:eastAsia="楷体_GB2312" w:cs="Times New Roman"/>
          <w:sz w:val="32"/>
          <w:szCs w:val="32"/>
        </w:rPr>
        <w:br w:type="page"/>
      </w:r>
      <w:r>
        <w:rPr>
          <w:rFonts w:hint="default" w:ascii="Times New Roman" w:hAnsi="Times New Roman" w:eastAsia="黑体" w:cs="Times New Roman"/>
          <w:sz w:val="32"/>
          <w:szCs w:val="28"/>
        </w:rPr>
        <w:t>附件1</w:t>
      </w:r>
      <w:r>
        <w:rPr>
          <w:rFonts w:hint="default" w:ascii="Times New Roman" w:hAnsi="Times New Roman" w:eastAsia="仿宋_GB2312" w:cs="Times New Roman"/>
          <w:sz w:val="32"/>
          <w:szCs w:val="32"/>
        </w:rPr>
        <w:t>—</w:t>
      </w:r>
      <w:r>
        <w:rPr>
          <w:rFonts w:hint="default" w:ascii="Times New Roman" w:hAnsi="Times New Roman" w:eastAsia="黑体" w:cs="Times New Roman"/>
          <w:sz w:val="32"/>
          <w:szCs w:val="32"/>
        </w:rPr>
        <w:t>B</w:t>
      </w:r>
    </w:p>
    <w:p w14:paraId="145E0F5B">
      <w:pPr>
        <w:spacing w:line="600" w:lineRule="exact"/>
        <w:ind w:firstLine="180" w:firstLineChars="50"/>
        <w:jc w:val="center"/>
        <w:rPr>
          <w:rFonts w:hint="default" w:ascii="Times New Roman" w:hAnsi="Times New Roman" w:eastAsia="小标宋" w:cs="Times New Roman"/>
          <w:sz w:val="36"/>
          <w:szCs w:val="36"/>
        </w:rPr>
      </w:pPr>
    </w:p>
    <w:p w14:paraId="16479997">
      <w:pPr>
        <w:spacing w:line="600" w:lineRule="exact"/>
        <w:ind w:firstLine="180" w:firstLineChars="5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农作物病虫害区域性绿色防控技术模式汇总表</w:t>
      </w:r>
    </w:p>
    <w:p w14:paraId="3367FFA3">
      <w:pPr>
        <w:widowControl/>
        <w:spacing w:line="600" w:lineRule="exact"/>
        <w:jc w:val="left"/>
        <w:rPr>
          <w:rFonts w:hint="default" w:ascii="Times New Roman" w:hAnsi="Times New Roman" w:eastAsia="黑体" w:cs="Times New Roman"/>
          <w:sz w:val="32"/>
          <w:szCs w:val="32"/>
        </w:rPr>
      </w:pPr>
    </w:p>
    <w:tbl>
      <w:tblPr>
        <w:tblStyle w:val="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943"/>
        <w:gridCol w:w="2264"/>
        <w:gridCol w:w="2136"/>
        <w:gridCol w:w="1155"/>
        <w:gridCol w:w="1129"/>
      </w:tblGrid>
      <w:tr w14:paraId="3186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207" w:type="dxa"/>
            <w:tcBorders>
              <w:top w:val="single" w:color="auto" w:sz="4" w:space="0"/>
              <w:left w:val="single" w:color="auto" w:sz="4" w:space="0"/>
              <w:bottom w:val="single" w:color="auto" w:sz="4" w:space="0"/>
              <w:right w:val="single" w:color="auto" w:sz="4" w:space="0"/>
            </w:tcBorders>
            <w:noWrap/>
            <w:vAlign w:val="top"/>
          </w:tcPr>
          <w:p w14:paraId="7C19496C">
            <w:pPr>
              <w:widowControl/>
              <w:spacing w:after="240" w:line="6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省份</w:t>
            </w:r>
          </w:p>
        </w:tc>
        <w:tc>
          <w:tcPr>
            <w:tcW w:w="943" w:type="dxa"/>
            <w:tcBorders>
              <w:top w:val="single" w:color="auto" w:sz="4" w:space="0"/>
              <w:left w:val="single" w:color="auto" w:sz="4" w:space="0"/>
              <w:bottom w:val="single" w:color="auto" w:sz="4" w:space="0"/>
              <w:right w:val="single" w:color="auto" w:sz="4" w:space="0"/>
            </w:tcBorders>
            <w:noWrap w:val="0"/>
            <w:vAlign w:val="top"/>
          </w:tcPr>
          <w:p w14:paraId="75454F56">
            <w:pPr>
              <w:widowControl/>
              <w:spacing w:after="240" w:line="6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作物</w:t>
            </w:r>
          </w:p>
        </w:tc>
        <w:tc>
          <w:tcPr>
            <w:tcW w:w="2264" w:type="dxa"/>
            <w:tcBorders>
              <w:top w:val="single" w:color="auto" w:sz="4" w:space="0"/>
              <w:left w:val="single" w:color="auto" w:sz="4" w:space="0"/>
              <w:bottom w:val="single" w:color="auto" w:sz="4" w:space="0"/>
              <w:right w:val="single" w:color="auto" w:sz="4" w:space="0"/>
            </w:tcBorders>
            <w:noWrap/>
            <w:vAlign w:val="top"/>
          </w:tcPr>
          <w:p w14:paraId="10A2F86B">
            <w:pPr>
              <w:widowControl/>
              <w:spacing w:after="240" w:line="6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技术模式名称</w:t>
            </w:r>
          </w:p>
        </w:tc>
        <w:tc>
          <w:tcPr>
            <w:tcW w:w="2136" w:type="dxa"/>
            <w:tcBorders>
              <w:top w:val="single" w:color="auto" w:sz="4" w:space="0"/>
              <w:left w:val="single" w:color="auto" w:sz="4" w:space="0"/>
              <w:bottom w:val="single" w:color="auto" w:sz="4" w:space="0"/>
              <w:right w:val="single" w:color="auto" w:sz="4" w:space="0"/>
            </w:tcBorders>
            <w:noWrap/>
            <w:vAlign w:val="top"/>
          </w:tcPr>
          <w:p w14:paraId="2F82E1D6">
            <w:pPr>
              <w:widowControl/>
              <w:spacing w:after="240" w:line="6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技术依托单位</w:t>
            </w:r>
          </w:p>
        </w:tc>
        <w:tc>
          <w:tcPr>
            <w:tcW w:w="1155" w:type="dxa"/>
            <w:tcBorders>
              <w:top w:val="single" w:color="auto" w:sz="4" w:space="0"/>
              <w:left w:val="single" w:color="auto" w:sz="4" w:space="0"/>
              <w:bottom w:val="single" w:color="auto" w:sz="4" w:space="0"/>
              <w:right w:val="single" w:color="auto" w:sz="4" w:space="0"/>
            </w:tcBorders>
            <w:noWrap/>
            <w:vAlign w:val="top"/>
          </w:tcPr>
          <w:p w14:paraId="3AA7CD81">
            <w:pPr>
              <w:widowControl/>
              <w:spacing w:after="240" w:line="6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完成人</w:t>
            </w:r>
          </w:p>
        </w:tc>
        <w:tc>
          <w:tcPr>
            <w:tcW w:w="1129" w:type="dxa"/>
            <w:tcBorders>
              <w:top w:val="single" w:color="auto" w:sz="4" w:space="0"/>
              <w:left w:val="single" w:color="auto" w:sz="4" w:space="0"/>
              <w:bottom w:val="single" w:color="auto" w:sz="4" w:space="0"/>
              <w:right w:val="single" w:color="auto" w:sz="4" w:space="0"/>
            </w:tcBorders>
            <w:noWrap/>
            <w:vAlign w:val="top"/>
          </w:tcPr>
          <w:p w14:paraId="107947C3">
            <w:pPr>
              <w:widowControl/>
              <w:spacing w:after="240" w:line="6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备注</w:t>
            </w:r>
          </w:p>
        </w:tc>
      </w:tr>
      <w:tr w14:paraId="19A5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207" w:type="dxa"/>
            <w:tcBorders>
              <w:top w:val="single" w:color="auto" w:sz="4" w:space="0"/>
              <w:left w:val="single" w:color="auto" w:sz="4" w:space="0"/>
              <w:bottom w:val="single" w:color="auto" w:sz="4" w:space="0"/>
              <w:right w:val="single" w:color="auto" w:sz="4" w:space="0"/>
            </w:tcBorders>
            <w:noWrap/>
            <w:vAlign w:val="top"/>
          </w:tcPr>
          <w:p w14:paraId="498D2352">
            <w:pPr>
              <w:widowControl/>
              <w:spacing w:after="240" w:line="600" w:lineRule="exact"/>
              <w:rPr>
                <w:rFonts w:hint="default" w:ascii="Times New Roman" w:hAnsi="Times New Roman" w:eastAsia="黑体" w:cs="Times New Roman"/>
                <w:sz w:val="28"/>
                <w:szCs w:val="28"/>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383B66A0">
            <w:pPr>
              <w:widowControl/>
              <w:spacing w:after="240" w:line="600" w:lineRule="exact"/>
              <w:rPr>
                <w:rFonts w:hint="default" w:ascii="Times New Roman" w:hAnsi="Times New Roman" w:eastAsia="黑体" w:cs="Times New Roman"/>
                <w:sz w:val="28"/>
                <w:szCs w:val="28"/>
              </w:rPr>
            </w:pPr>
          </w:p>
        </w:tc>
        <w:tc>
          <w:tcPr>
            <w:tcW w:w="2264" w:type="dxa"/>
            <w:tcBorders>
              <w:top w:val="single" w:color="auto" w:sz="4" w:space="0"/>
              <w:left w:val="single" w:color="auto" w:sz="4" w:space="0"/>
              <w:bottom w:val="single" w:color="auto" w:sz="4" w:space="0"/>
              <w:right w:val="single" w:color="auto" w:sz="4" w:space="0"/>
            </w:tcBorders>
            <w:noWrap/>
            <w:vAlign w:val="top"/>
          </w:tcPr>
          <w:p w14:paraId="469CD62D">
            <w:pPr>
              <w:widowControl/>
              <w:spacing w:after="240" w:line="600" w:lineRule="exact"/>
              <w:rPr>
                <w:rFonts w:hint="default" w:ascii="Times New Roman" w:hAnsi="Times New Roman" w:eastAsia="黑体" w:cs="Times New Roman"/>
                <w:sz w:val="28"/>
                <w:szCs w:val="28"/>
              </w:rPr>
            </w:pPr>
          </w:p>
        </w:tc>
        <w:tc>
          <w:tcPr>
            <w:tcW w:w="2136" w:type="dxa"/>
            <w:tcBorders>
              <w:top w:val="single" w:color="auto" w:sz="4" w:space="0"/>
              <w:left w:val="single" w:color="auto" w:sz="4" w:space="0"/>
              <w:bottom w:val="single" w:color="auto" w:sz="4" w:space="0"/>
              <w:right w:val="single" w:color="auto" w:sz="4" w:space="0"/>
            </w:tcBorders>
            <w:noWrap/>
            <w:vAlign w:val="top"/>
          </w:tcPr>
          <w:p w14:paraId="3F379D70">
            <w:pPr>
              <w:widowControl/>
              <w:spacing w:after="240" w:line="600" w:lineRule="exact"/>
              <w:rPr>
                <w:rFonts w:hint="default" w:ascii="Times New Roman" w:hAnsi="Times New Roman" w:eastAsia="黑体" w:cs="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ign w:val="top"/>
          </w:tcPr>
          <w:p w14:paraId="3D55CE0E">
            <w:pPr>
              <w:widowControl/>
              <w:spacing w:after="240" w:line="600" w:lineRule="exact"/>
              <w:rPr>
                <w:rFonts w:hint="default" w:ascii="Times New Roman" w:hAnsi="Times New Roman" w:eastAsia="黑体" w:cs="Times New Roman"/>
                <w:sz w:val="28"/>
                <w:szCs w:val="28"/>
              </w:rPr>
            </w:pPr>
          </w:p>
        </w:tc>
        <w:tc>
          <w:tcPr>
            <w:tcW w:w="1129" w:type="dxa"/>
            <w:tcBorders>
              <w:top w:val="single" w:color="auto" w:sz="4" w:space="0"/>
              <w:left w:val="single" w:color="auto" w:sz="4" w:space="0"/>
              <w:bottom w:val="single" w:color="auto" w:sz="4" w:space="0"/>
              <w:right w:val="single" w:color="auto" w:sz="4" w:space="0"/>
            </w:tcBorders>
            <w:noWrap/>
            <w:vAlign w:val="top"/>
          </w:tcPr>
          <w:p w14:paraId="3A057433">
            <w:pPr>
              <w:widowControl/>
              <w:spacing w:after="240" w:line="600" w:lineRule="exact"/>
              <w:rPr>
                <w:rFonts w:hint="default" w:ascii="Times New Roman" w:hAnsi="Times New Roman" w:eastAsia="黑体" w:cs="Times New Roman"/>
                <w:sz w:val="28"/>
                <w:szCs w:val="28"/>
              </w:rPr>
            </w:pPr>
          </w:p>
        </w:tc>
      </w:tr>
    </w:tbl>
    <w:p w14:paraId="408B186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013943-E772-48F7-9061-883E548313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D98A3A-CD45-456F-8BED-61BAE3090B5B}"/>
  </w:font>
  <w:font w:name="方正小标宋简体">
    <w:panose1 w:val="02000000000000000000"/>
    <w:charset w:val="86"/>
    <w:family w:val="script"/>
    <w:pitch w:val="default"/>
    <w:sig w:usb0="A00002BF" w:usb1="184F6CFA" w:usb2="00000012" w:usb3="00000000" w:csb0="00040001" w:csb1="00000000"/>
    <w:embedRegular r:id="rId3" w:fontKey="{CB162239-D6A2-4155-AB86-AF3A9C4AB47A}"/>
  </w:font>
  <w:font w:name="仿宋_GB2312">
    <w:panose1 w:val="02010609030101010101"/>
    <w:charset w:val="86"/>
    <w:family w:val="modern"/>
    <w:pitch w:val="default"/>
    <w:sig w:usb0="00000001" w:usb1="080E0000" w:usb2="00000000" w:usb3="00000000" w:csb0="00040000" w:csb1="00000000"/>
    <w:embedRegular r:id="rId4" w:fontKey="{5F0A00D8-6039-4851-A8F5-EFC9EEFC5EDA}"/>
  </w:font>
  <w:font w:name="楷体_GB2312">
    <w:altName w:val="楷体"/>
    <w:panose1 w:val="02010609030101010101"/>
    <w:charset w:val="86"/>
    <w:family w:val="modern"/>
    <w:pitch w:val="default"/>
    <w:sig w:usb0="00000000" w:usb1="00000000" w:usb2="00000000" w:usb3="00000000" w:csb0="00040000" w:csb1="00000000"/>
    <w:embedRegular r:id="rId5" w:fontKey="{7E29B4FA-36B2-4C9B-A48F-E6842A90CA80}"/>
  </w:font>
  <w:font w:name="小标宋">
    <w:altName w:val="Microsoft YaHei UI"/>
    <w:panose1 w:val="03000509000000000000"/>
    <w:charset w:val="86"/>
    <w:family w:val="script"/>
    <w:pitch w:val="default"/>
    <w:sig w:usb0="00000000" w:usb1="00000000" w:usb2="00000000" w:usb3="00000000" w:csb0="00040000" w:csb1="00000000"/>
    <w:embedRegular r:id="rId6" w:fontKey="{B1F7C7E6-78E8-4F37-A021-DB0C3E185B59}"/>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1481D"/>
    <w:rsid w:val="74614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2025-10-14T03:14:00Z</dcterms:created>
  <dc:creator>蕙</dc:creator>
  <cp:lastModifiedBy>蕙</cp:lastModifiedBy>
  <dcterms:modified xsi:type="dcterms:W3CDTF">2025-10-14T03:15:25Z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9B68CD29A2454078AC530D4548821884_11</vt:lpwstr>
  </property>
  <property fmtid="{D5CDD505-2E9C-101B-9397-08002B2CF9AE}" pid="4" name="KSOTemplateDocerSaveRecord">
    <vt:lpwstr>eyJoZGlkIjoiNWQ4ODQ3ODhhNjNlYjA4NGIyNGJmMGMxZTk1NGY3NjciLCJ1c2VySWQiOiIyODMxMDA3NjAifQ==</vt:lpwstr>
  </property>
</Properties>
</file>