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79D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附件1</w:t>
      </w:r>
    </w:p>
    <w:p w14:paraId="3DD5BE7E">
      <w:pPr>
        <w:widowControl w:val="0"/>
        <w:overflowPunct w:val="0"/>
        <w:bidi w:val="0"/>
        <w:spacing w:beforeAutospacing="0" w:afterAutospacing="0" w:line="60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</w:pPr>
      <w:r>
        <w:rPr>
          <w:rFonts w:hint="default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  <w:t>5</w:t>
      </w:r>
      <w:r>
        <w:rPr>
          <w:rFonts w:hint="default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  <w:t>年市本级一般公共预算调整表</w:t>
      </w:r>
    </w:p>
    <w:p w14:paraId="626806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  <w:t>单位：亿元</w:t>
      </w:r>
    </w:p>
    <w:tbl>
      <w:tblPr>
        <w:tblStyle w:val="4"/>
        <w:tblW w:w="50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252"/>
        <w:gridCol w:w="983"/>
        <w:gridCol w:w="1050"/>
        <w:gridCol w:w="933"/>
        <w:gridCol w:w="4267"/>
        <w:gridCol w:w="1067"/>
        <w:gridCol w:w="1083"/>
        <w:gridCol w:w="1051"/>
      </w:tblGrid>
      <w:tr w14:paraId="4F64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62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7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44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出</w:t>
            </w:r>
          </w:p>
        </w:tc>
      </w:tr>
      <w:tr w14:paraId="01B5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 w14:paraId="7271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3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调增（减）数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E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78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 w14:paraId="1736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2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调增</w:t>
            </w:r>
          </w:p>
          <w:p w14:paraId="7F62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（减）数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7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调整后预算数</w:t>
            </w:r>
          </w:p>
        </w:tc>
      </w:tr>
      <w:tr w14:paraId="03B4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一、地方一般公共预算收入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88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6C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5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66.79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E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一、一般公共预算支出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A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1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4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49.55</w:t>
            </w:r>
          </w:p>
        </w:tc>
      </w:tr>
      <w:tr w14:paraId="73E4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E8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二、上级补助收入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F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3F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0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43.33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二、上解支出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4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C2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9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1.66</w:t>
            </w:r>
          </w:p>
        </w:tc>
      </w:tr>
      <w:tr w14:paraId="13A63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3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三、上年结余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B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4C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2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17.84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三、安排预算稳定调节基金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7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9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B97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D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四、调入资金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6E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A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32.11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37.11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7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四、债务还本支出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C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AF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5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 w14:paraId="5EB5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73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pacing w:val="-9"/>
                <w:kern w:val="0"/>
                <w:sz w:val="24"/>
                <w:szCs w:val="24"/>
                <w:u w:val="none"/>
                <w:lang w:val="en-US" w:eastAsia="zh-CN" w:bidi="ar"/>
              </w:rPr>
              <w:t>从国有资本经营预算调入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6C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C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32.11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5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32.11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E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五、结转下年支出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2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2F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0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</w:t>
            </w:r>
          </w:p>
        </w:tc>
      </w:tr>
      <w:tr w14:paraId="5CF5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4D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从政府性基金预算调入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FC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11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2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B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AF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823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4B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五、调入预算稳定调节基金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C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89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35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F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C9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99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5F3C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六、一般债务转贷收入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1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7D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7.74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7.74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D2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95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1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9D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6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E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137.96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8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39.85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3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177.81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1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137.96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E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39.85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E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177.81</w:t>
            </w:r>
          </w:p>
        </w:tc>
      </w:tr>
    </w:tbl>
    <w:p w14:paraId="535C5E4A">
      <w:pP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附件2</w:t>
      </w:r>
    </w:p>
    <w:p w14:paraId="6E3BFF2D">
      <w:pPr>
        <w:widowControl w:val="0"/>
        <w:overflowPunct w:val="0"/>
        <w:bidi w:val="0"/>
        <w:spacing w:beforeAutospacing="0" w:afterAutospacing="0" w:line="60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</w:pPr>
      <w:r>
        <w:rPr>
          <w:rFonts w:hint="default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  <w:t>2025年市本级政府性基金预算调整表</w:t>
      </w:r>
    </w:p>
    <w:p w14:paraId="53D4FB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  <w:t>单位：亿元</w:t>
      </w:r>
    </w:p>
    <w:tbl>
      <w:tblPr>
        <w:tblStyle w:val="4"/>
        <w:tblW w:w="50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260"/>
        <w:gridCol w:w="1000"/>
        <w:gridCol w:w="1017"/>
        <w:gridCol w:w="966"/>
        <w:gridCol w:w="4249"/>
        <w:gridCol w:w="1050"/>
        <w:gridCol w:w="1100"/>
        <w:gridCol w:w="1044"/>
      </w:tblGrid>
      <w:tr w14:paraId="0667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A7B6">
            <w:pPr>
              <w:tabs>
                <w:tab w:val="left" w:pos="2934"/>
              </w:tabs>
              <w:bidi w:val="0"/>
              <w:jc w:val="left"/>
              <w:rPr>
                <w:rFonts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</w:t>
            </w:r>
            <w:r>
              <w:rPr>
                <w:rStyle w:val="6"/>
                <w:rFonts w:ascii="Times New Roman" w:hAnsi="Times New Roman" w:eastAsia="方正黑体简体"/>
                <w:b w:val="0"/>
                <w:bCs w:val="0"/>
                <w:sz w:val="24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</w:t>
            </w:r>
          </w:p>
        </w:tc>
        <w:tc>
          <w:tcPr>
            <w:tcW w:w="7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5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  <w:r>
              <w:rPr>
                <w:rStyle w:val="6"/>
                <w:rFonts w:ascii="Times New Roman" w:hAnsi="Times New Roman" w:eastAsia="方正黑体简体"/>
                <w:b w:val="0"/>
                <w:bCs w:val="0"/>
                <w:sz w:val="24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</w:p>
        </w:tc>
      </w:tr>
      <w:tr w14:paraId="5524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47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Style w:val="6"/>
                <w:rFonts w:ascii="Times New Roman" w:hAnsi="Times New Roman" w:eastAsia="方正黑体简体"/>
                <w:b w:val="0"/>
                <w:bCs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8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 w14:paraId="64EB3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调增（减）数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1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D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Style w:val="6"/>
                <w:rFonts w:ascii="Times New Roman" w:hAnsi="Times New Roman" w:eastAsia="方正黑体简体"/>
                <w:b w:val="0"/>
                <w:bCs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0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 w14:paraId="62DC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调增</w:t>
            </w:r>
          </w:p>
          <w:p w14:paraId="153FA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（减）数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8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调整后预算数</w:t>
            </w:r>
          </w:p>
        </w:tc>
      </w:tr>
      <w:tr w14:paraId="22E5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59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 w:bidi="ar"/>
              </w:rPr>
              <w:t>一、政府性基金收入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102.62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07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122.62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6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 w:bidi="ar"/>
              </w:rPr>
              <w:t>一、城乡社区支出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1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01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1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74.22</w:t>
            </w:r>
          </w:p>
        </w:tc>
      </w:tr>
      <w:tr w14:paraId="5446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6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ascii="Times New Roman" w:hAnsi="Times New Roman"/>
                <w:lang w:val="en-US" w:eastAsia="zh-CN" w:bidi="ar"/>
              </w:rPr>
              <w:t>二、专项债务转贷收入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0B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77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95.71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95.71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 w:bidi="ar"/>
              </w:rPr>
              <w:t>二、其他支出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4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42.02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6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52.02</w:t>
            </w:r>
          </w:p>
        </w:tc>
      </w:tr>
      <w:tr w14:paraId="1CD5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F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ascii="Times New Roman" w:hAnsi="Times New Roman"/>
                <w:lang w:val="en-US" w:eastAsia="zh-CN" w:bidi="ar"/>
              </w:rPr>
              <w:t>三、调入资金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A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A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2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/>
                <w:lang w:val="en-US" w:eastAsia="zh-CN" w:bidi="ar"/>
              </w:rPr>
              <w:t>其中：</w:t>
            </w:r>
            <w:r>
              <w:rPr>
                <w:rStyle w:val="7"/>
                <w:rFonts w:hint="default" w:ascii="Times New Roman" w:hAnsi="Times New Roman"/>
                <w:lang w:val="en-US" w:eastAsia="zh-CN" w:bidi="ar"/>
              </w:rPr>
              <w:t>其他地方自行试点项目收益专项债券收入安排的支出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E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42.02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5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42.02</w:t>
            </w:r>
          </w:p>
        </w:tc>
      </w:tr>
      <w:tr w14:paraId="0D28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21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C9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CB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D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 w:bidi="ar"/>
              </w:rPr>
              <w:t>三、债务付息支出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2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13.56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4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F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13.56</w:t>
            </w:r>
          </w:p>
        </w:tc>
      </w:tr>
      <w:tr w14:paraId="0494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0F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6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2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81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2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 w:bidi="ar"/>
              </w:rPr>
              <w:t>四、调出资金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83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578D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5D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E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CC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EF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D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 w:bidi="ar"/>
              </w:rPr>
              <w:t>五、债务还本支出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8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5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53.69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8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74.19</w:t>
            </w:r>
          </w:p>
        </w:tc>
      </w:tr>
      <w:tr w14:paraId="58F0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A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C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6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31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7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ascii="Times New Roman" w:hAnsi="Times New Roman"/>
                <w:lang w:val="en-US" w:eastAsia="zh-CN" w:bidi="ar"/>
              </w:rPr>
              <w:t>其中：其他政府性基金债务还本支出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F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34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53.69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3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53.69</w:t>
            </w:r>
          </w:p>
        </w:tc>
      </w:tr>
      <w:tr w14:paraId="1378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A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103.28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A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115.71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9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218.99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9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7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E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115.71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AB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218.99</w:t>
            </w:r>
          </w:p>
        </w:tc>
      </w:tr>
    </w:tbl>
    <w:p w14:paraId="63D9F67E">
      <w:pP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附件3</w:t>
      </w:r>
    </w:p>
    <w:p w14:paraId="520214E2">
      <w:pPr>
        <w:widowControl w:val="0"/>
        <w:overflowPunct w:val="0"/>
        <w:bidi w:val="0"/>
        <w:spacing w:beforeAutospacing="0" w:afterAutospacing="0" w:line="60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</w:pPr>
      <w:r>
        <w:rPr>
          <w:rFonts w:hint="default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  <w:t>5</w:t>
      </w:r>
      <w:r>
        <w:rPr>
          <w:rFonts w:hint="default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  <w:t>年市本级国有资本经营预算调整表</w:t>
      </w:r>
    </w:p>
    <w:p w14:paraId="141692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  <w:t>单位：亿元</w:t>
      </w:r>
    </w:p>
    <w:tbl>
      <w:tblPr>
        <w:tblStyle w:val="4"/>
        <w:tblW w:w="50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235"/>
        <w:gridCol w:w="1017"/>
        <w:gridCol w:w="1016"/>
        <w:gridCol w:w="967"/>
        <w:gridCol w:w="4250"/>
        <w:gridCol w:w="1050"/>
        <w:gridCol w:w="1083"/>
        <w:gridCol w:w="1068"/>
      </w:tblGrid>
      <w:tr w14:paraId="216A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6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C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</w:t>
            </w:r>
            <w:r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</w:t>
            </w:r>
          </w:p>
        </w:tc>
        <w:tc>
          <w:tcPr>
            <w:tcW w:w="74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1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</w:p>
        </w:tc>
      </w:tr>
      <w:tr w14:paraId="6CDE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1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EC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 w14:paraId="7F0C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2F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调增（减）数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53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E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 w14:paraId="2435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A2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调增</w:t>
            </w:r>
          </w:p>
          <w:p w14:paraId="7517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（减）数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6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调整后预算数</w:t>
            </w:r>
          </w:p>
        </w:tc>
      </w:tr>
      <w:tr w14:paraId="589B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0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一、利润收入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40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57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3.1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一、解决历史遗留问题及改革成本支出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45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2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0.67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4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</w:t>
            </w:r>
          </w:p>
        </w:tc>
      </w:tr>
      <w:tr w14:paraId="151A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87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二、产权转让收入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63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C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D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4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二、国有企业资本金注入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2C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-1.2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3B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138A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1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三、股息红利收入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E6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BA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0.01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C8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0.01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A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三、其他国有资本经营预算支出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B0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AD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7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0.02</w:t>
            </w:r>
          </w:p>
        </w:tc>
      </w:tr>
      <w:tr w14:paraId="0B20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17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0A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C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5F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0F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四、调出资金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4C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32.11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0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32.11</w:t>
            </w:r>
          </w:p>
        </w:tc>
      </w:tr>
      <w:tr w14:paraId="5FA6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EF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C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D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A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F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8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B0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47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0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2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6C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31.6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B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33.11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6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3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0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31.6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F5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33.11</w:t>
            </w:r>
          </w:p>
        </w:tc>
      </w:tr>
    </w:tbl>
    <w:p w14:paraId="54B168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附件4</w:t>
      </w:r>
    </w:p>
    <w:p w14:paraId="0EC1B541">
      <w:pPr>
        <w:widowControl w:val="0"/>
        <w:overflowPunct w:val="0"/>
        <w:bidi w:val="0"/>
        <w:spacing w:beforeAutospacing="0" w:afterAutospacing="0" w:line="60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</w:pPr>
      <w:r>
        <w:rPr>
          <w:rFonts w:hint="default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  <w:t>5</w:t>
      </w:r>
      <w:r>
        <w:rPr>
          <w:rFonts w:hint="default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  <w:t>年市本级新增债券安排项目情况表</w:t>
      </w:r>
    </w:p>
    <w:p w14:paraId="14D054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32"/>
          <w:lang w:val="en-US" w:eastAsia="zh-CN"/>
        </w:rPr>
        <w:t>单位：亿元</w:t>
      </w:r>
    </w:p>
    <w:tbl>
      <w:tblPr>
        <w:tblStyle w:val="4"/>
        <w:tblW w:w="492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57"/>
        <w:gridCol w:w="8108"/>
        <w:gridCol w:w="1917"/>
        <w:gridCol w:w="2064"/>
      </w:tblGrid>
      <w:tr w14:paraId="168C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tblHeader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4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7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债券类型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A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黑体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债券规模</w:t>
            </w:r>
          </w:p>
        </w:tc>
      </w:tr>
      <w:tr w14:paraId="06F9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FA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25" w:leftChars="-2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9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45.86</w:t>
            </w:r>
          </w:p>
        </w:tc>
      </w:tr>
      <w:tr w14:paraId="2A81C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0F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25" w:leftChars="-2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一般债券小计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6D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3.84</w:t>
            </w:r>
          </w:p>
        </w:tc>
      </w:tr>
      <w:tr w14:paraId="03E6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1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B6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东洲岛污水过江工程项目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0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0.14</w:t>
            </w:r>
          </w:p>
        </w:tc>
      </w:tr>
      <w:tr w14:paraId="1F68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E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C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城区道路提质项目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7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5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0.4</w:t>
            </w:r>
          </w:p>
        </w:tc>
      </w:tr>
      <w:tr w14:paraId="2A6F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CE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北三环项目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C9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4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0.34</w:t>
            </w:r>
          </w:p>
        </w:tc>
      </w:tr>
      <w:tr w14:paraId="10EA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E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B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张家山环境整治及火车西站提质项目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4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9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0.024</w:t>
            </w:r>
          </w:p>
        </w:tc>
      </w:tr>
      <w:tr w14:paraId="6A8F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F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29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船山实验中学学生宿舍维修改造项目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1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1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0.05</w:t>
            </w:r>
          </w:p>
        </w:tc>
      </w:tr>
      <w:tr w14:paraId="2C59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渗滤液处理项目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D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0.096</w:t>
            </w:r>
          </w:p>
        </w:tc>
      </w:tr>
      <w:tr w14:paraId="403C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F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成章实验中学改扩建项目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0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0.05</w:t>
            </w:r>
          </w:p>
        </w:tc>
      </w:tr>
      <w:tr w14:paraId="7CE0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B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6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东洲岛10KV电力项目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2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0.12</w:t>
            </w:r>
          </w:p>
        </w:tc>
      </w:tr>
      <w:tr w14:paraId="4D65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9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19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城区有关道路建设项目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0.33</w:t>
            </w:r>
          </w:p>
        </w:tc>
      </w:tr>
      <w:tr w14:paraId="5D5E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E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10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8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雨母大道建设工程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A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0.63</w:t>
            </w:r>
          </w:p>
        </w:tc>
      </w:tr>
      <w:tr w14:paraId="11B0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0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11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6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留置中心升级改造项目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1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0.11</w:t>
            </w:r>
          </w:p>
        </w:tc>
      </w:tr>
      <w:tr w14:paraId="5659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12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4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酃湖公园提质改造项目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0.35</w:t>
            </w:r>
          </w:p>
        </w:tc>
      </w:tr>
      <w:tr w14:paraId="3F6D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2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13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外调点建设项目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C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6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0.75</w:t>
            </w:r>
          </w:p>
        </w:tc>
      </w:tr>
      <w:tr w14:paraId="2A48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8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14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7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衡阳市第九中学高中部改扩建（一期）工程项目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2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0.1</w:t>
            </w:r>
          </w:p>
        </w:tc>
      </w:tr>
      <w:tr w14:paraId="4E62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6B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15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3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外贷审计整改项目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一般债券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9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0.35</w:t>
            </w:r>
          </w:p>
        </w:tc>
      </w:tr>
      <w:tr w14:paraId="00A2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A5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25" w:leftChars="-2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专项债券小计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6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42.02</w:t>
            </w:r>
          </w:p>
        </w:tc>
      </w:tr>
      <w:tr w14:paraId="6249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5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6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衡阳智能计量衡器产业园智慧园区新建项目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专项债券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1.1</w:t>
            </w:r>
          </w:p>
        </w:tc>
      </w:tr>
      <w:tr w14:paraId="3DAD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E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7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国际智能衡器计量产业园(一期首开区东片区)项目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F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专项债券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C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0.78</w:t>
            </w:r>
          </w:p>
        </w:tc>
      </w:tr>
      <w:tr w14:paraId="42A3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0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5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衡阳市中心老城区雨污分流改造工程项目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专项债券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A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2.4</w:t>
            </w:r>
          </w:p>
        </w:tc>
      </w:tr>
      <w:tr w14:paraId="4700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6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F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2025年衡阳市第二批土地专项债项目001号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9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专项债券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4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1.86</w:t>
            </w:r>
          </w:p>
        </w:tc>
      </w:tr>
      <w:tr w14:paraId="5EA68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8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01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2025年衡阳市第三批土地专项债项目004号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D3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专项债券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7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4.49</w:t>
            </w:r>
          </w:p>
        </w:tc>
      </w:tr>
      <w:tr w14:paraId="7027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3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2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华侨城八中片区209.9亩土地回收项目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专项债券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1.43</w:t>
            </w:r>
          </w:p>
        </w:tc>
      </w:tr>
      <w:tr w14:paraId="5B0C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A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2025年度衡阳市本级第三批土储债项目001号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2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专项债券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4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1.02</w:t>
            </w:r>
          </w:p>
        </w:tc>
      </w:tr>
      <w:tr w14:paraId="3A24F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EB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偿还</w:t>
            </w: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政府拖欠企业账款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D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专项债券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E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0.03</w:t>
            </w:r>
          </w:p>
        </w:tc>
      </w:tr>
      <w:tr w14:paraId="2D07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8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2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存量政府投资项目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/>
                <w:sz w:val="24"/>
                <w:lang w:val="en-US" w:eastAsia="zh-CN" w:bidi="ar"/>
              </w:rPr>
              <w:t>专项债券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0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/>
                <w:sz w:val="24"/>
                <w:lang w:val="en-US" w:eastAsia="zh-CN" w:bidi="ar"/>
              </w:rPr>
              <w:t>28.91</w:t>
            </w:r>
          </w:p>
        </w:tc>
      </w:tr>
    </w:tbl>
    <w:p w14:paraId="2FACD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9CAF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77B30E8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01" w:right="1701" w:bottom="1701" w:left="1701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644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925126">
                          <w:pPr>
                            <w:pStyle w:val="2"/>
                            <w:rPr>
                              <w:rFonts w:ascii="Times New Roman" w:hAnsi="Times New Roman" w:eastAsia="宋体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eastAsia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/>
                              <w:sz w:val="24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25126">
                    <w:pPr>
                      <w:pStyle w:val="2"/>
                      <w:rPr>
                        <w:rFonts w:ascii="Times New Roman" w:hAnsi="Times New Roman" w:eastAsia="宋体"/>
                        <w:sz w:val="24"/>
                      </w:rPr>
                    </w:pPr>
                    <w:r>
                      <w:rPr>
                        <w:rFonts w:ascii="Times New Roman" w:hAnsi="Times New Roman" w:eastAsia="宋体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/>
                        <w:sz w:val="24"/>
                      </w:rPr>
                      <w:t>- 2 -</w:t>
                    </w:r>
                    <w:r>
                      <w:rPr>
                        <w:rFonts w:ascii="Times New Roman" w:hAnsi="Times New Roman" w:eastAsia="宋体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EEEA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C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8">
    <w:name w:val="font71"/>
    <w:basedOn w:val="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2026-01-08T03:26:25Z</dcterms:created>
  <dc:creator>Administrator</dc:creator>
  <cp:lastModifiedBy>微信用户</cp:lastModifiedBy>
  <dcterms:modified xsi:type="dcterms:W3CDTF">2026-01-08T03:26:43Z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eyJoZGlkIjoiOGM1ZDRlMGUxMjY4NTZmMmRiMDIwYjczYWMyZjI1ZGIiLCJ1c2VySWQiOiIxMjYxMDc3NzcwIn0=</vt:lpwstr>
  </property>
  <property fmtid="{D5CDD505-2E9C-101B-9397-08002B2CF9AE}" pid="4" name="ICV">
    <vt:lpwstr>42395317256A4419BEACDCF297CDBF17_12</vt:lpwstr>
  </property>
</Properties>
</file>